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494" w:rsidRPr="005B3C62" w:rsidRDefault="00865494" w:rsidP="00865494">
      <w:pPr>
        <w:spacing w:line="480" w:lineRule="auto"/>
        <w:jc w:val="center"/>
        <w:rPr>
          <w:rFonts w:ascii="Times New Roman" w:hAnsi="Times New Roman" w:cs="Times New Roman"/>
          <w:sz w:val="24"/>
          <w:szCs w:val="24"/>
        </w:rPr>
      </w:pPr>
    </w:p>
    <w:p w:rsidR="00865494" w:rsidRPr="005B3C62" w:rsidRDefault="00865494" w:rsidP="00865494">
      <w:pPr>
        <w:spacing w:line="480" w:lineRule="auto"/>
        <w:jc w:val="center"/>
        <w:rPr>
          <w:rFonts w:ascii="Times New Roman" w:hAnsi="Times New Roman" w:cs="Times New Roman"/>
          <w:sz w:val="24"/>
          <w:szCs w:val="24"/>
        </w:rPr>
      </w:pPr>
    </w:p>
    <w:p w:rsidR="00865494" w:rsidRPr="005B3C62" w:rsidRDefault="00865494" w:rsidP="00865494">
      <w:pPr>
        <w:spacing w:line="480" w:lineRule="auto"/>
        <w:jc w:val="center"/>
        <w:rPr>
          <w:rFonts w:ascii="Times New Roman" w:hAnsi="Times New Roman" w:cs="Times New Roman"/>
          <w:sz w:val="24"/>
          <w:szCs w:val="24"/>
        </w:rPr>
      </w:pPr>
    </w:p>
    <w:p w:rsidR="00865494" w:rsidRPr="005B3C62" w:rsidRDefault="00865494" w:rsidP="00865494">
      <w:pPr>
        <w:spacing w:line="480" w:lineRule="auto"/>
        <w:jc w:val="center"/>
        <w:rPr>
          <w:rFonts w:ascii="Times New Roman" w:hAnsi="Times New Roman" w:cs="Times New Roman"/>
          <w:sz w:val="24"/>
          <w:szCs w:val="24"/>
        </w:rPr>
      </w:pPr>
    </w:p>
    <w:p w:rsidR="00865494" w:rsidRPr="005B3C62" w:rsidRDefault="00865494" w:rsidP="00865494">
      <w:pPr>
        <w:spacing w:line="480" w:lineRule="auto"/>
        <w:jc w:val="center"/>
        <w:rPr>
          <w:rFonts w:ascii="Times New Roman" w:hAnsi="Times New Roman" w:cs="Times New Roman"/>
          <w:sz w:val="24"/>
          <w:szCs w:val="24"/>
        </w:rPr>
      </w:pPr>
    </w:p>
    <w:p w:rsidR="00865494" w:rsidRPr="005B3C62" w:rsidRDefault="00865494" w:rsidP="00865494">
      <w:pPr>
        <w:spacing w:line="480" w:lineRule="auto"/>
        <w:jc w:val="center"/>
        <w:rPr>
          <w:rFonts w:ascii="Times New Roman" w:hAnsi="Times New Roman" w:cs="Times New Roman"/>
          <w:sz w:val="24"/>
          <w:szCs w:val="24"/>
        </w:rPr>
      </w:pPr>
    </w:p>
    <w:p w:rsidR="005F177A" w:rsidRPr="005B3C62" w:rsidRDefault="00865494" w:rsidP="00865494">
      <w:pPr>
        <w:spacing w:line="480" w:lineRule="auto"/>
        <w:jc w:val="center"/>
        <w:rPr>
          <w:rFonts w:ascii="Times New Roman" w:hAnsi="Times New Roman" w:cs="Times New Roman"/>
          <w:sz w:val="24"/>
          <w:szCs w:val="24"/>
        </w:rPr>
      </w:pPr>
      <w:r w:rsidRPr="005B3C62">
        <w:rPr>
          <w:rFonts w:ascii="Times New Roman" w:hAnsi="Times New Roman" w:cs="Times New Roman"/>
          <w:sz w:val="24"/>
          <w:szCs w:val="24"/>
        </w:rPr>
        <w:t>Advocacy Strategy Paper</w:t>
      </w:r>
    </w:p>
    <w:p w:rsidR="00865494" w:rsidRPr="005B3C62" w:rsidRDefault="00865494" w:rsidP="00865494">
      <w:pPr>
        <w:spacing w:line="480" w:lineRule="auto"/>
        <w:jc w:val="center"/>
        <w:rPr>
          <w:rFonts w:ascii="Times New Roman" w:hAnsi="Times New Roman" w:cs="Times New Roman"/>
          <w:sz w:val="24"/>
          <w:szCs w:val="24"/>
        </w:rPr>
      </w:pPr>
      <w:r w:rsidRPr="005B3C62">
        <w:rPr>
          <w:rFonts w:ascii="Times New Roman" w:hAnsi="Times New Roman" w:cs="Times New Roman"/>
          <w:sz w:val="24"/>
          <w:szCs w:val="24"/>
        </w:rPr>
        <w:t>Name:</w:t>
      </w:r>
    </w:p>
    <w:p w:rsidR="00865494" w:rsidRPr="005B3C62" w:rsidRDefault="00865494" w:rsidP="00865494">
      <w:pPr>
        <w:spacing w:line="480" w:lineRule="auto"/>
        <w:jc w:val="center"/>
        <w:rPr>
          <w:rFonts w:ascii="Times New Roman" w:hAnsi="Times New Roman" w:cs="Times New Roman"/>
          <w:sz w:val="24"/>
          <w:szCs w:val="24"/>
        </w:rPr>
      </w:pPr>
      <w:r w:rsidRPr="005B3C62">
        <w:rPr>
          <w:rFonts w:ascii="Times New Roman" w:hAnsi="Times New Roman" w:cs="Times New Roman"/>
          <w:sz w:val="24"/>
          <w:szCs w:val="24"/>
        </w:rPr>
        <w:t>Course:</w:t>
      </w:r>
    </w:p>
    <w:p w:rsidR="00865494" w:rsidRPr="005B3C62" w:rsidRDefault="00865494" w:rsidP="00865494">
      <w:pPr>
        <w:spacing w:line="480" w:lineRule="auto"/>
        <w:jc w:val="center"/>
        <w:rPr>
          <w:rFonts w:ascii="Times New Roman" w:hAnsi="Times New Roman" w:cs="Times New Roman"/>
          <w:sz w:val="24"/>
          <w:szCs w:val="24"/>
        </w:rPr>
      </w:pPr>
      <w:r w:rsidRPr="005B3C62">
        <w:rPr>
          <w:rFonts w:ascii="Times New Roman" w:hAnsi="Times New Roman" w:cs="Times New Roman"/>
          <w:sz w:val="24"/>
          <w:szCs w:val="24"/>
        </w:rPr>
        <w:t>Institution:</w:t>
      </w:r>
    </w:p>
    <w:p w:rsidR="00865494" w:rsidRPr="005B3C62" w:rsidRDefault="00865494" w:rsidP="00865494">
      <w:pPr>
        <w:spacing w:line="480" w:lineRule="auto"/>
        <w:jc w:val="center"/>
        <w:rPr>
          <w:rFonts w:ascii="Times New Roman" w:hAnsi="Times New Roman" w:cs="Times New Roman"/>
          <w:sz w:val="24"/>
          <w:szCs w:val="24"/>
        </w:rPr>
      </w:pPr>
      <w:r w:rsidRPr="005B3C62">
        <w:rPr>
          <w:rFonts w:ascii="Times New Roman" w:hAnsi="Times New Roman" w:cs="Times New Roman"/>
          <w:sz w:val="24"/>
          <w:szCs w:val="24"/>
        </w:rPr>
        <w:t>Instructor:</w:t>
      </w:r>
    </w:p>
    <w:p w:rsidR="00865494" w:rsidRPr="005B3C62" w:rsidRDefault="00865494" w:rsidP="00865494">
      <w:pPr>
        <w:spacing w:line="480" w:lineRule="auto"/>
        <w:jc w:val="center"/>
        <w:rPr>
          <w:rFonts w:ascii="Times New Roman" w:hAnsi="Times New Roman" w:cs="Times New Roman"/>
          <w:sz w:val="24"/>
          <w:szCs w:val="24"/>
        </w:rPr>
      </w:pPr>
      <w:r w:rsidRPr="005B3C62">
        <w:rPr>
          <w:rFonts w:ascii="Times New Roman" w:hAnsi="Times New Roman" w:cs="Times New Roman"/>
          <w:sz w:val="24"/>
          <w:szCs w:val="24"/>
        </w:rPr>
        <w:t>Date:</w:t>
      </w:r>
    </w:p>
    <w:p w:rsidR="004C212A" w:rsidRPr="005B3C62" w:rsidRDefault="00865494" w:rsidP="00C31B6F">
      <w:pPr>
        <w:rPr>
          <w:rFonts w:ascii="Times New Roman" w:hAnsi="Times New Roman" w:cs="Times New Roman"/>
          <w:sz w:val="24"/>
          <w:szCs w:val="24"/>
        </w:rPr>
      </w:pPr>
      <w:r w:rsidRPr="005B3C62">
        <w:rPr>
          <w:rFonts w:ascii="Times New Roman" w:hAnsi="Times New Roman" w:cs="Times New Roman"/>
          <w:sz w:val="24"/>
          <w:szCs w:val="24"/>
        </w:rPr>
        <w:br w:type="page"/>
      </w:r>
    </w:p>
    <w:p w:rsidR="00D46911" w:rsidRPr="005B3C62" w:rsidRDefault="005B3C62" w:rsidP="005B3C62">
      <w:pPr>
        <w:jc w:val="center"/>
        <w:rPr>
          <w:rFonts w:ascii="Times New Roman" w:hAnsi="Times New Roman" w:cs="Times New Roman"/>
          <w:sz w:val="24"/>
          <w:szCs w:val="24"/>
        </w:rPr>
      </w:pPr>
      <w:r w:rsidRPr="005B3C62">
        <w:rPr>
          <w:rFonts w:ascii="Times New Roman" w:hAnsi="Times New Roman" w:cs="Times New Roman"/>
          <w:sz w:val="24"/>
          <w:szCs w:val="24"/>
        </w:rPr>
        <w:lastRenderedPageBreak/>
        <w:t>Table of contents.</w:t>
      </w:r>
    </w:p>
    <w:sdt>
      <w:sdtPr>
        <w:rPr>
          <w:rFonts w:ascii="Times New Roman" w:hAnsi="Times New Roman" w:cs="Times New Roman"/>
          <w:sz w:val="24"/>
          <w:szCs w:val="24"/>
        </w:rPr>
        <w:id w:val="1935481284"/>
        <w:docPartObj>
          <w:docPartGallery w:val="Table of Contents"/>
          <w:docPartUnique/>
        </w:docPartObj>
      </w:sdtPr>
      <w:sdtEndPr>
        <w:rPr>
          <w:rFonts w:eastAsiaTheme="minorHAnsi"/>
          <w:noProof/>
          <w:color w:val="auto"/>
          <w:lang w:eastAsia="en-US"/>
        </w:rPr>
      </w:sdtEndPr>
      <w:sdtContent>
        <w:p w:rsidR="005B3C62" w:rsidRPr="005B3C62" w:rsidRDefault="005B3C62">
          <w:pPr>
            <w:pStyle w:val="TOCHeading"/>
            <w:rPr>
              <w:rFonts w:ascii="Times New Roman" w:hAnsi="Times New Roman" w:cs="Times New Roman"/>
              <w:sz w:val="24"/>
              <w:szCs w:val="24"/>
            </w:rPr>
          </w:pPr>
          <w:r w:rsidRPr="005B3C62">
            <w:rPr>
              <w:rFonts w:ascii="Times New Roman" w:hAnsi="Times New Roman" w:cs="Times New Roman"/>
              <w:sz w:val="24"/>
              <w:szCs w:val="24"/>
            </w:rPr>
            <w:t>Contents</w:t>
          </w:r>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r w:rsidRPr="005B3C62">
            <w:rPr>
              <w:rFonts w:ascii="Times New Roman" w:hAnsi="Times New Roman" w:cs="Times New Roman"/>
              <w:sz w:val="24"/>
              <w:szCs w:val="24"/>
            </w:rPr>
            <w:fldChar w:fldCharType="begin"/>
          </w:r>
          <w:r w:rsidRPr="005B3C62">
            <w:rPr>
              <w:rFonts w:ascii="Times New Roman" w:hAnsi="Times New Roman" w:cs="Times New Roman"/>
              <w:sz w:val="24"/>
              <w:szCs w:val="24"/>
            </w:rPr>
            <w:instrText xml:space="preserve"> TOC \o "1-3" \h \z \u </w:instrText>
          </w:r>
          <w:r w:rsidRPr="005B3C62">
            <w:rPr>
              <w:rFonts w:ascii="Times New Roman" w:hAnsi="Times New Roman" w:cs="Times New Roman"/>
              <w:sz w:val="24"/>
              <w:szCs w:val="24"/>
            </w:rPr>
            <w:fldChar w:fldCharType="separate"/>
          </w:r>
          <w:hyperlink w:anchor="_Toc512132791" w:history="1">
            <w:r w:rsidRPr="005B3C62">
              <w:rPr>
                <w:rStyle w:val="Hyperlink"/>
                <w:rFonts w:ascii="Times New Roman" w:hAnsi="Times New Roman" w:cs="Times New Roman"/>
                <w:noProof/>
                <w:sz w:val="24"/>
                <w:szCs w:val="24"/>
              </w:rPr>
              <w:t>Campaign goals</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_Toc512132791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2</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792" w:history="1">
            <w:r w:rsidRPr="005B3C62">
              <w:rPr>
                <w:rStyle w:val="Hyperlink"/>
                <w:rFonts w:ascii="Times New Roman" w:hAnsi="Times New Roman" w:cs="Times New Roman"/>
                <w:noProof/>
                <w:sz w:val="24"/>
                <w:szCs w:val="24"/>
              </w:rPr>
              <w:t>Drawing attention to the problem</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_Toc512132792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3</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793" w:history="1">
            <w:r w:rsidRPr="005B3C62">
              <w:rPr>
                <w:rStyle w:val="Hyperlink"/>
                <w:rFonts w:ascii="Times New Roman" w:hAnsi="Times New Roman" w:cs="Times New Roman"/>
                <w:noProof/>
                <w:sz w:val="24"/>
                <w:szCs w:val="24"/>
              </w:rPr>
              <w:t>Attention to the cost of the plan</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_Toc512132793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5</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794" w:history="1">
            <w:r w:rsidRPr="005B3C62">
              <w:rPr>
                <w:rStyle w:val="Hyperlink"/>
                <w:rFonts w:ascii="Times New Roman" w:hAnsi="Times New Roman" w:cs="Times New Roman"/>
                <w:noProof/>
                <w:sz w:val="24"/>
                <w:szCs w:val="24"/>
              </w:rPr>
              <w:t>Attention to the interaction with the government</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_Toc512132794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6</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795" w:history="1">
            <w:r w:rsidRPr="005B3C62">
              <w:rPr>
                <w:rStyle w:val="Hyperlink"/>
                <w:rFonts w:ascii="Times New Roman" w:hAnsi="Times New Roman" w:cs="Times New Roman"/>
                <w:noProof/>
                <w:sz w:val="24"/>
                <w:szCs w:val="24"/>
              </w:rPr>
              <w:t>Specific attention to sequencing</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_Toc512132795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8</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796" w:history="1">
            <w:r w:rsidRPr="005B3C62">
              <w:rPr>
                <w:rStyle w:val="Hyperlink"/>
                <w:rFonts w:ascii="Times New Roman" w:hAnsi="Times New Roman" w:cs="Times New Roman"/>
                <w:noProof/>
                <w:sz w:val="24"/>
                <w:szCs w:val="24"/>
              </w:rPr>
              <w:t>Policy issues</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_Toc512132796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9</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797" w:history="1">
            <w:r w:rsidRPr="005B3C62">
              <w:rPr>
                <w:rStyle w:val="Hyperlink"/>
                <w:rFonts w:ascii="Times New Roman" w:hAnsi="Times New Roman" w:cs="Times New Roman"/>
                <w:noProof/>
                <w:sz w:val="24"/>
                <w:szCs w:val="24"/>
              </w:rPr>
              <w:t>Benefits</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_Toc512132797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10</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798" w:history="1">
            <w:r w:rsidRPr="005B3C62">
              <w:rPr>
                <w:rStyle w:val="Hyperlink"/>
                <w:rFonts w:ascii="Times New Roman" w:hAnsi="Times New Roman" w:cs="Times New Roman"/>
                <w:noProof/>
                <w:sz w:val="24"/>
                <w:szCs w:val="24"/>
              </w:rPr>
              <w:t>Current organizational resources</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_Toc512132798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11</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799" w:history="1">
            <w:r w:rsidRPr="005B3C62">
              <w:rPr>
                <w:rStyle w:val="Hyperlink"/>
                <w:rFonts w:ascii="Times New Roman" w:hAnsi="Times New Roman" w:cs="Times New Roman"/>
                <w:noProof/>
                <w:sz w:val="24"/>
                <w:szCs w:val="24"/>
              </w:rPr>
              <w:t>Social networks and the advocacy</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_Toc512132799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12</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800" w:history="1">
            <w:r w:rsidRPr="005B3C62">
              <w:rPr>
                <w:rStyle w:val="Hyperlink"/>
                <w:rFonts w:ascii="Times New Roman" w:hAnsi="Times New Roman" w:cs="Times New Roman"/>
                <w:noProof/>
                <w:sz w:val="24"/>
                <w:szCs w:val="24"/>
              </w:rPr>
              <w:t>Tables and Figures</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_Toc512132800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12</w:t>
            </w:r>
            <w:r w:rsidRPr="005B3C62">
              <w:rPr>
                <w:rFonts w:ascii="Times New Roman" w:hAnsi="Times New Roman" w:cs="Times New Roman"/>
                <w:noProof/>
                <w:webHidden/>
                <w:sz w:val="24"/>
                <w:szCs w:val="24"/>
              </w:rPr>
              <w:fldChar w:fldCharType="end"/>
            </w:r>
          </w:hyperlink>
        </w:p>
        <w:p w:rsidR="005B3C62" w:rsidRPr="005B3C62" w:rsidRDefault="005B3C62">
          <w:pPr>
            <w:pStyle w:val="TOC1"/>
            <w:tabs>
              <w:tab w:val="right" w:leader="dot" w:pos="9350"/>
            </w:tabs>
            <w:rPr>
              <w:rFonts w:ascii="Times New Roman" w:eastAsiaTheme="minorEastAsia" w:hAnsi="Times New Roman" w:cs="Times New Roman"/>
              <w:noProof/>
              <w:sz w:val="24"/>
              <w:szCs w:val="24"/>
              <w:lang w:val="en-GB" w:eastAsia="en-GB"/>
            </w:rPr>
          </w:pPr>
          <w:hyperlink w:anchor="_Toc512132801" w:history="1">
            <w:r w:rsidRPr="005B3C62">
              <w:rPr>
                <w:rStyle w:val="Hyperlink"/>
                <w:rFonts w:ascii="Times New Roman" w:hAnsi="Times New Roman" w:cs="Times New Roman"/>
                <w:noProof/>
                <w:sz w:val="24"/>
                <w:szCs w:val="24"/>
              </w:rPr>
              <w:t>References</w:t>
            </w:r>
            <w:r w:rsidRPr="005B3C62">
              <w:rPr>
                <w:rFonts w:ascii="Times New Roman" w:hAnsi="Times New Roman" w:cs="Times New Roman"/>
                <w:noProof/>
                <w:webHidden/>
                <w:sz w:val="24"/>
                <w:szCs w:val="24"/>
              </w:rPr>
              <w:tab/>
            </w:r>
            <w:r w:rsidRPr="005B3C62">
              <w:rPr>
                <w:rFonts w:ascii="Times New Roman" w:hAnsi="Times New Roman" w:cs="Times New Roman"/>
                <w:noProof/>
                <w:webHidden/>
                <w:sz w:val="24"/>
                <w:szCs w:val="24"/>
              </w:rPr>
              <w:fldChar w:fldCharType="begin"/>
            </w:r>
            <w:r w:rsidRPr="005B3C62">
              <w:rPr>
                <w:rFonts w:ascii="Times New Roman" w:hAnsi="Times New Roman" w:cs="Times New Roman"/>
                <w:noProof/>
                <w:webHidden/>
                <w:sz w:val="24"/>
                <w:szCs w:val="24"/>
              </w:rPr>
              <w:instrText xml:space="preserve"> PAGEREF _Toc512132801 \h </w:instrText>
            </w:r>
            <w:r w:rsidRPr="005B3C62">
              <w:rPr>
                <w:rFonts w:ascii="Times New Roman" w:hAnsi="Times New Roman" w:cs="Times New Roman"/>
                <w:noProof/>
                <w:webHidden/>
                <w:sz w:val="24"/>
                <w:szCs w:val="24"/>
              </w:rPr>
            </w:r>
            <w:r w:rsidRPr="005B3C62">
              <w:rPr>
                <w:rFonts w:ascii="Times New Roman" w:hAnsi="Times New Roman" w:cs="Times New Roman"/>
                <w:noProof/>
                <w:webHidden/>
                <w:sz w:val="24"/>
                <w:szCs w:val="24"/>
              </w:rPr>
              <w:fldChar w:fldCharType="separate"/>
            </w:r>
            <w:r w:rsidRPr="005B3C62">
              <w:rPr>
                <w:rFonts w:ascii="Times New Roman" w:hAnsi="Times New Roman" w:cs="Times New Roman"/>
                <w:noProof/>
                <w:webHidden/>
                <w:sz w:val="24"/>
                <w:szCs w:val="24"/>
              </w:rPr>
              <w:t>14</w:t>
            </w:r>
            <w:r w:rsidRPr="005B3C62">
              <w:rPr>
                <w:rFonts w:ascii="Times New Roman" w:hAnsi="Times New Roman" w:cs="Times New Roman"/>
                <w:noProof/>
                <w:webHidden/>
                <w:sz w:val="24"/>
                <w:szCs w:val="24"/>
              </w:rPr>
              <w:fldChar w:fldCharType="end"/>
            </w:r>
          </w:hyperlink>
        </w:p>
        <w:p w:rsidR="005B3C62" w:rsidRPr="005B3C62" w:rsidRDefault="005B3C62">
          <w:pPr>
            <w:rPr>
              <w:rFonts w:ascii="Times New Roman" w:hAnsi="Times New Roman" w:cs="Times New Roman"/>
              <w:sz w:val="24"/>
              <w:szCs w:val="24"/>
            </w:rPr>
          </w:pPr>
          <w:r w:rsidRPr="005B3C62">
            <w:rPr>
              <w:rFonts w:ascii="Times New Roman" w:hAnsi="Times New Roman" w:cs="Times New Roman"/>
              <w:b/>
              <w:bCs/>
              <w:noProof/>
              <w:sz w:val="24"/>
              <w:szCs w:val="24"/>
            </w:rPr>
            <w:fldChar w:fldCharType="end"/>
          </w:r>
        </w:p>
      </w:sdtContent>
    </w:sdt>
    <w:p w:rsidR="005B3C62" w:rsidRPr="005B3C62" w:rsidRDefault="005B3C62" w:rsidP="005B3C62">
      <w:pPr>
        <w:rPr>
          <w:rFonts w:ascii="Times New Roman" w:hAnsi="Times New Roman" w:cs="Times New Roman"/>
          <w:sz w:val="24"/>
          <w:szCs w:val="24"/>
        </w:rPr>
      </w:pPr>
    </w:p>
    <w:p w:rsidR="005B3C62" w:rsidRPr="005B3C62" w:rsidRDefault="005B3C62" w:rsidP="005B3C62">
      <w:pPr>
        <w:rPr>
          <w:rFonts w:ascii="Times New Roman" w:hAnsi="Times New Roman" w:cs="Times New Roman"/>
          <w:sz w:val="24"/>
          <w:szCs w:val="24"/>
        </w:rPr>
      </w:pPr>
    </w:p>
    <w:p w:rsidR="00D461B6" w:rsidRPr="005B3C62" w:rsidRDefault="00D461B6" w:rsidP="00012DCD">
      <w:pPr>
        <w:rPr>
          <w:rFonts w:ascii="Times New Roman" w:hAnsi="Times New Roman" w:cs="Times New Roman"/>
          <w:b/>
          <w:sz w:val="24"/>
          <w:szCs w:val="24"/>
        </w:rPr>
      </w:pPr>
    </w:p>
    <w:p w:rsidR="00EE1E00" w:rsidRPr="005B3C62" w:rsidRDefault="00EE1E00" w:rsidP="00012DCD">
      <w:pPr>
        <w:rPr>
          <w:rFonts w:ascii="Times New Roman" w:hAnsi="Times New Roman" w:cs="Times New Roman"/>
          <w:b/>
          <w:sz w:val="24"/>
          <w:szCs w:val="24"/>
        </w:rPr>
      </w:pPr>
    </w:p>
    <w:p w:rsidR="008D5C32" w:rsidRPr="005B3C62" w:rsidRDefault="008D5C32" w:rsidP="00012DCD">
      <w:pPr>
        <w:rPr>
          <w:rFonts w:ascii="Times New Roman" w:hAnsi="Times New Roman" w:cs="Times New Roman"/>
          <w:sz w:val="24"/>
          <w:szCs w:val="24"/>
        </w:rPr>
      </w:pPr>
    </w:p>
    <w:p w:rsidR="003C64D9" w:rsidRPr="005B3C62" w:rsidRDefault="003C64D9" w:rsidP="00012DCD">
      <w:pPr>
        <w:rPr>
          <w:rFonts w:ascii="Times New Roman" w:hAnsi="Times New Roman" w:cs="Times New Roman"/>
          <w:sz w:val="24"/>
          <w:szCs w:val="24"/>
        </w:rPr>
      </w:pPr>
    </w:p>
    <w:p w:rsidR="003C64D9" w:rsidRPr="005B3C62" w:rsidRDefault="003C64D9" w:rsidP="00012DCD">
      <w:pPr>
        <w:rPr>
          <w:rFonts w:ascii="Times New Roman" w:hAnsi="Times New Roman" w:cs="Times New Roman"/>
          <w:sz w:val="24"/>
          <w:szCs w:val="24"/>
        </w:rPr>
      </w:pPr>
    </w:p>
    <w:p w:rsidR="003C64D9" w:rsidRPr="005B3C62" w:rsidRDefault="003C64D9" w:rsidP="00012DCD">
      <w:pPr>
        <w:rPr>
          <w:rFonts w:ascii="Times New Roman" w:hAnsi="Times New Roman" w:cs="Times New Roman"/>
          <w:sz w:val="24"/>
          <w:szCs w:val="24"/>
        </w:rPr>
      </w:pPr>
    </w:p>
    <w:p w:rsidR="003C64D9" w:rsidRPr="005B3C62" w:rsidRDefault="003C64D9" w:rsidP="00012DCD">
      <w:pPr>
        <w:rPr>
          <w:rFonts w:ascii="Times New Roman" w:hAnsi="Times New Roman" w:cs="Times New Roman"/>
          <w:sz w:val="24"/>
          <w:szCs w:val="24"/>
        </w:rPr>
      </w:pPr>
    </w:p>
    <w:p w:rsidR="003C64D9" w:rsidRPr="005B3C62" w:rsidRDefault="003C64D9" w:rsidP="00012DCD">
      <w:pPr>
        <w:rPr>
          <w:rFonts w:ascii="Times New Roman" w:hAnsi="Times New Roman" w:cs="Times New Roman"/>
          <w:sz w:val="24"/>
          <w:szCs w:val="24"/>
        </w:rPr>
      </w:pPr>
    </w:p>
    <w:p w:rsidR="003C64D9" w:rsidRPr="005B3C62" w:rsidRDefault="003C64D9" w:rsidP="00012DCD">
      <w:pPr>
        <w:rPr>
          <w:rFonts w:ascii="Times New Roman" w:hAnsi="Times New Roman" w:cs="Times New Roman"/>
          <w:sz w:val="24"/>
          <w:szCs w:val="24"/>
        </w:rPr>
      </w:pPr>
    </w:p>
    <w:p w:rsidR="003C64D9" w:rsidRPr="005B3C62" w:rsidRDefault="003C64D9" w:rsidP="00012DCD">
      <w:pPr>
        <w:rPr>
          <w:rFonts w:ascii="Times New Roman" w:hAnsi="Times New Roman" w:cs="Times New Roman"/>
          <w:sz w:val="24"/>
          <w:szCs w:val="24"/>
        </w:rPr>
      </w:pPr>
    </w:p>
    <w:p w:rsidR="003C64D9" w:rsidRPr="005B3C62" w:rsidRDefault="003C64D9" w:rsidP="00012DCD">
      <w:pPr>
        <w:rPr>
          <w:rFonts w:ascii="Times New Roman" w:hAnsi="Times New Roman" w:cs="Times New Roman"/>
          <w:sz w:val="24"/>
          <w:szCs w:val="24"/>
        </w:rPr>
      </w:pPr>
    </w:p>
    <w:p w:rsidR="00776264" w:rsidRPr="005B3C62" w:rsidRDefault="00776264" w:rsidP="005B3C62">
      <w:pPr>
        <w:pStyle w:val="Heading1"/>
        <w:jc w:val="center"/>
        <w:rPr>
          <w:rFonts w:ascii="Times New Roman" w:hAnsi="Times New Roman" w:cs="Times New Roman"/>
          <w:sz w:val="24"/>
          <w:szCs w:val="24"/>
        </w:rPr>
      </w:pPr>
      <w:bookmarkStart w:id="0" w:name="_Toc512132791"/>
      <w:r w:rsidRPr="005B3C62">
        <w:rPr>
          <w:rFonts w:ascii="Times New Roman" w:hAnsi="Times New Roman" w:cs="Times New Roman"/>
          <w:sz w:val="24"/>
          <w:szCs w:val="24"/>
        </w:rPr>
        <w:lastRenderedPageBreak/>
        <w:t>Campaign goals</w:t>
      </w:r>
      <w:bookmarkEnd w:id="0"/>
    </w:p>
    <w:p w:rsidR="00485569" w:rsidRPr="005B3C62" w:rsidRDefault="00485569" w:rsidP="00193370">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A collective bargaining agreement will be the only milestone in the long fight towards better teachers’ conditions of service and salaries. The advocacy paper aims at creating a permanent solution for this agony by bringing the sense to the National Education Association, the state and the national government as well as the teachers’ union to come together and discuss issues concerning teachers’ remuneration and condition of services. The collective bargaining agreement should consider the principal of equity where the government needs to budget $3.6 billion more than that originally budgeted. The traditional pay for teachers is an imperfect system there is the need to explore alternative pay structures that involves compensating teachers not for how long they have been in the profession but on how well they do the teaching. There is also the need to address the disproportionate and the inequalities in the pay system of teachers, with a special focus on whether the payment should be determined by credentials and the level of experience or it will be based on how well the teacher delivers. In general, terms, teachers are underpaid with their annual salaries being lower than all the other professions such as lawyers, doctors, accountants and others. The National Education Association needs to address this matter to rank the teaching profession closely with the other professions. Equalizing salaries and paying teachers on performance bases are the reasons for the advocacy, the objective is to ensure that teachers are also compensated appropriately without discrimination. Currently, there are no top-quality teachers because teaching has become undesirable due to low paychecks. If paychecks are raised and tenure eliminated, teaching will once again become a desirable profession and will, therefore, attract talented individuals to become teachers thus making the country more educated (Darling, 2003).</w:t>
      </w:r>
    </w:p>
    <w:p w:rsidR="00193370" w:rsidRPr="005B3C62" w:rsidRDefault="00193370" w:rsidP="00474DB7">
      <w:pPr>
        <w:spacing w:line="480" w:lineRule="auto"/>
        <w:rPr>
          <w:rFonts w:ascii="Times New Roman" w:hAnsi="Times New Roman" w:cs="Times New Roman"/>
          <w:b/>
          <w:sz w:val="24"/>
          <w:szCs w:val="24"/>
        </w:rPr>
      </w:pPr>
    </w:p>
    <w:p w:rsidR="00485569" w:rsidRPr="005B3C62" w:rsidRDefault="00485569" w:rsidP="005B3C62">
      <w:pPr>
        <w:pStyle w:val="Heading1"/>
        <w:jc w:val="center"/>
        <w:rPr>
          <w:rFonts w:ascii="Times New Roman" w:hAnsi="Times New Roman" w:cs="Times New Roman"/>
          <w:sz w:val="24"/>
          <w:szCs w:val="24"/>
        </w:rPr>
      </w:pPr>
      <w:bookmarkStart w:id="1" w:name="_Toc512132792"/>
      <w:r w:rsidRPr="005B3C62">
        <w:rPr>
          <w:rFonts w:ascii="Times New Roman" w:hAnsi="Times New Roman" w:cs="Times New Roman"/>
          <w:sz w:val="24"/>
          <w:szCs w:val="24"/>
        </w:rPr>
        <w:lastRenderedPageBreak/>
        <w:t>Drawing attention to the problem</w:t>
      </w:r>
      <w:bookmarkEnd w:id="1"/>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Teachers pay should be reconsidered and made to levels that will make every teacher comfortable and motivated while performing their duties. Low teacher compensation has more effects than just demotivating and lowering the morale of the teaching staffs. Undervaluing the teaching profession by giving them low compensation is more dangerous than it is thought to be. It is simply creating a negative impression by telling the next generation of bright educators not to bother teaching or that if they dare, they must take a vow of poverty. This is putting the students at a risk since teachers who spend nights and weekends working other jobs cannot possibly devote the necessary attention to their students or lesson plans. Teachers are very important to the future; it is argued that children are the future but without adults to teach them about the future they might not wake from their dream. Teachers contribute a lot more than they get credit for and their salaries should be upped a lot. They pass through a lot in their career but what they are awarded as compensation is not enough compared to the amount of work they are entitled to (Murnane, 1986).   </w:t>
      </w:r>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The notion of equal pay for equal work is reasonable in the teaching profession, where fixed salary schedule resonate how the majority of teachers are paid. There are inequalities in public schools teacher’s compensation the observation is motivated by prominent debates about inequalities in both school finance and teacher pension systems, which share a common origin in teacher salaries. Researchers have shown that there is an overall salary inequality among public teachers in comparison to other occupations. Additionally, teachers’ salaries show relatively high levels of inequality based on age education and geography. It was found that wage inequalities for teachers considerably vary across the state and, teacher who tend to have high wages are those with both higher levels of school funding inequalities and pension inequalities (Alam, 2009).  </w:t>
      </w:r>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lastRenderedPageBreak/>
        <w:t xml:space="preserve">Arguments about how teachers should be compensated have an unfortunate </w:t>
      </w:r>
      <w:r w:rsidR="00474DB7" w:rsidRPr="005B3C62">
        <w:rPr>
          <w:rFonts w:ascii="Times New Roman" w:hAnsi="Times New Roman" w:cs="Times New Roman"/>
          <w:sz w:val="24"/>
          <w:szCs w:val="24"/>
        </w:rPr>
        <w:t>behavior</w:t>
      </w:r>
      <w:r w:rsidRPr="005B3C62">
        <w:rPr>
          <w:rFonts w:ascii="Times New Roman" w:hAnsi="Times New Roman" w:cs="Times New Roman"/>
          <w:sz w:val="24"/>
          <w:szCs w:val="24"/>
        </w:rPr>
        <w:t xml:space="preserve"> of </w:t>
      </w:r>
      <w:bookmarkStart w:id="2" w:name="_GoBack"/>
      <w:bookmarkEnd w:id="2"/>
      <w:r w:rsidRPr="005B3C62">
        <w:rPr>
          <w:rFonts w:ascii="Times New Roman" w:hAnsi="Times New Roman" w:cs="Times New Roman"/>
          <w:sz w:val="24"/>
          <w:szCs w:val="24"/>
        </w:rPr>
        <w:t xml:space="preserve">emphasizing on big blanket solutions. Many Unions usually want the status to </w:t>
      </w:r>
      <w:r w:rsidR="00474DB7" w:rsidRPr="005B3C62">
        <w:rPr>
          <w:rFonts w:ascii="Times New Roman" w:hAnsi="Times New Roman" w:cs="Times New Roman"/>
          <w:sz w:val="24"/>
          <w:szCs w:val="24"/>
        </w:rPr>
        <w:t>remain,</w:t>
      </w:r>
      <w:r w:rsidRPr="005B3C62">
        <w:rPr>
          <w:rFonts w:ascii="Times New Roman" w:hAnsi="Times New Roman" w:cs="Times New Roman"/>
          <w:sz w:val="24"/>
          <w:szCs w:val="24"/>
        </w:rPr>
        <w:t xml:space="preserve"> as they are where teachers are paid based on their level of education and job experience. Nevertheless, the issue remains that teachers are not compensated as it is supposed to be. The pay system for teachers should be revised to ensure that what teachers get as their compensation is equivalent to the work they do, the pay should also be closely related to that of other professionals.  There is need to pay teachers more so as to attract better people into the profession and compete with other nations in terms of value addition (Johnson, 2006). </w:t>
      </w:r>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The issue of low teachers pay has been in existence for a very long period the main problem being that the teachers are not paid enough compared to the amount of work they do in schools. On annual basis, the teachers’ salaries are below those of other professionals under the same administration. Teachers’ wages differ from that of other professionals not only on the amount but also in the steepness of the salary curve over a career. Teaching rewards experience like any other profession. However, unlike many other careers, its degree of pay is linked to the seniority and the extent to which it affects earnings towards the end of teacher’s career. They pay system is not fair for teachers, in comparison to other professions such as lawyers, doctors, accountants and others, it is clear that they reach their peak salaries at their age of forty years unlike teachers who get to the age of forty while still earning very low amounts and do not get at the peak of their salaries until they get to the age of fifty-five years or more. This demonstrates that teacher’s higher salaries are concentrated at the end of their career (Odden, 2002).</w:t>
      </w:r>
    </w:p>
    <w:p w:rsidR="00485569" w:rsidRPr="005B3C62" w:rsidRDefault="008C3CF0" w:rsidP="005B3C62">
      <w:pPr>
        <w:pStyle w:val="Heading1"/>
        <w:jc w:val="center"/>
        <w:rPr>
          <w:rFonts w:ascii="Times New Roman" w:hAnsi="Times New Roman" w:cs="Times New Roman"/>
          <w:sz w:val="24"/>
          <w:szCs w:val="24"/>
        </w:rPr>
      </w:pPr>
      <w:bookmarkStart w:id="3" w:name="_Toc512132793"/>
      <w:r w:rsidRPr="005B3C62">
        <w:rPr>
          <w:rFonts w:ascii="Times New Roman" w:hAnsi="Times New Roman" w:cs="Times New Roman"/>
          <w:sz w:val="24"/>
          <w:szCs w:val="24"/>
        </w:rPr>
        <w:t>Attention to the cost of the plan</w:t>
      </w:r>
      <w:bookmarkEnd w:id="3"/>
    </w:p>
    <w:p w:rsidR="00485569" w:rsidRPr="005B3C62" w:rsidRDefault="004F6366"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The main issue with the National Education Association is not challenges with finances but the will to allocate more funds to pay teachers.</w:t>
      </w:r>
      <w:r w:rsidR="00E74DFA" w:rsidRPr="005B3C62">
        <w:rPr>
          <w:rFonts w:ascii="Times New Roman" w:hAnsi="Times New Roman" w:cs="Times New Roman"/>
          <w:sz w:val="24"/>
          <w:szCs w:val="24"/>
        </w:rPr>
        <w:t xml:space="preserve"> </w:t>
      </w:r>
      <w:r w:rsidR="00485569" w:rsidRPr="005B3C62">
        <w:rPr>
          <w:rFonts w:ascii="Times New Roman" w:hAnsi="Times New Roman" w:cs="Times New Roman"/>
          <w:sz w:val="24"/>
          <w:szCs w:val="24"/>
        </w:rPr>
        <w:t xml:space="preserve">Teachers play a critical role in our public </w:t>
      </w:r>
      <w:r w:rsidR="00485569" w:rsidRPr="005B3C62">
        <w:rPr>
          <w:rFonts w:ascii="Times New Roman" w:hAnsi="Times New Roman" w:cs="Times New Roman"/>
          <w:sz w:val="24"/>
          <w:szCs w:val="24"/>
        </w:rPr>
        <w:lastRenderedPageBreak/>
        <w:t>education system but the students whom they teach feel more effects. For the last one decade, policies and researchers have both emphasized on attempts to attract, develop, and retain highly effective teachers in classrooms. Public school teachers are overwhelmingly compensated using salary schedules, in which districts or states set salary levels for teachers with adjustments made depending on teachers’ years of experience and education credentials. Problems arise here since there is no relationship between the credentials and the level of performance the level of credentials does not make any difference for students. Gains in productivity conversely are associated with increased teaching experience, although the shape of the productivity gain over time does not match the shape of reward to teaching experience</w:t>
      </w:r>
      <w:r w:rsidR="003F135C" w:rsidRPr="005B3C62">
        <w:rPr>
          <w:rFonts w:ascii="Times New Roman" w:hAnsi="Times New Roman" w:cs="Times New Roman"/>
          <w:sz w:val="24"/>
          <w:szCs w:val="24"/>
        </w:rPr>
        <w:t>.</w:t>
      </w:r>
      <w:r w:rsidR="00A70B86" w:rsidRPr="005B3C62">
        <w:rPr>
          <w:rFonts w:ascii="Times New Roman" w:hAnsi="Times New Roman" w:cs="Times New Roman"/>
          <w:sz w:val="24"/>
          <w:szCs w:val="24"/>
        </w:rPr>
        <w:t xml:space="preserve"> The pay increase for the teachers will cost the National Education Association and additional $3.6 billion additional to what is currently budgeted</w:t>
      </w:r>
      <w:r w:rsidR="00443E26" w:rsidRPr="005B3C62">
        <w:rPr>
          <w:rFonts w:ascii="Times New Roman" w:hAnsi="Times New Roman" w:cs="Times New Roman"/>
          <w:sz w:val="24"/>
          <w:szCs w:val="24"/>
        </w:rPr>
        <w:t>.</w:t>
      </w:r>
      <w:r w:rsidR="00DA4D1B" w:rsidRPr="005B3C62">
        <w:rPr>
          <w:rFonts w:ascii="Times New Roman" w:hAnsi="Times New Roman" w:cs="Times New Roman"/>
          <w:sz w:val="24"/>
          <w:szCs w:val="24"/>
        </w:rPr>
        <w:t xml:space="preserve"> This amount is enough to cater for teachers salaries and benefit within the next 2018 financial year</w:t>
      </w:r>
      <w:r w:rsidR="00485569" w:rsidRPr="005B3C62">
        <w:rPr>
          <w:rFonts w:ascii="Times New Roman" w:hAnsi="Times New Roman" w:cs="Times New Roman"/>
          <w:sz w:val="24"/>
          <w:szCs w:val="24"/>
        </w:rPr>
        <w:t xml:space="preserve"> (Ingersoll, 2008). </w:t>
      </w:r>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The national average salary for public school teachers in 2015-2016 was $58,064 according to the annual dataset published by the National Center for Education Statistics. Many individuals feel that the pay should increase greatly although the numbers vary greatly based on demographics and political ideologies across the board, the general feeling supported paying teachers more. Most current policies discussion concerning teachers’ remuneration is not clear about students outcome will be affected when policies are changed. The United States is currently at a bead equilibrium where it cannot increase salaries for effective teachers without increasing salaries for ineffective teachers and therefore the country remain stuck with teaching policies that are harming the students and the future economics of the country. An increase in the salary can improve school district attractiveness within their local teacher labour market and increase both the size and the quality of the teacher applicant pool. Frequent changes in the </w:t>
      </w:r>
      <w:r w:rsidRPr="005B3C62">
        <w:rPr>
          <w:rFonts w:ascii="Times New Roman" w:hAnsi="Times New Roman" w:cs="Times New Roman"/>
          <w:sz w:val="24"/>
          <w:szCs w:val="24"/>
        </w:rPr>
        <w:lastRenderedPageBreak/>
        <w:t>budgets and leadership priorities in the majority of districts have lead teachers to expect the opposite (Schacter, 2004).</w:t>
      </w:r>
    </w:p>
    <w:p w:rsidR="00485569" w:rsidRPr="005B3C62" w:rsidRDefault="00485569" w:rsidP="005B3C62">
      <w:pPr>
        <w:pStyle w:val="Heading1"/>
        <w:jc w:val="center"/>
        <w:rPr>
          <w:rFonts w:ascii="Times New Roman" w:hAnsi="Times New Roman" w:cs="Times New Roman"/>
          <w:sz w:val="24"/>
          <w:szCs w:val="24"/>
        </w:rPr>
      </w:pPr>
      <w:bookmarkStart w:id="4" w:name="_Toc512132794"/>
      <w:r w:rsidRPr="005B3C62">
        <w:rPr>
          <w:rFonts w:ascii="Times New Roman" w:hAnsi="Times New Roman" w:cs="Times New Roman"/>
          <w:sz w:val="24"/>
          <w:szCs w:val="24"/>
        </w:rPr>
        <w:t>Attention to the interaction with the government</w:t>
      </w:r>
      <w:bookmarkEnd w:id="4"/>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Everyone knows that no one goes to teaching to get rich, but on the other hand, teachers do not expect to be penalized for their chosen profession. A new study finds that the difference between the teachers pay compared to other public workers is bigger than ever. The weekly wages for teachers is 17% lower compared to college-educated professionals and more worse to veteran and male teachers. The finding from the study conducted by Sylvia Allegretto and Lawrence Mishel who are both economists shown that on average the weekly wages of public sector teacher decreased by $30 every week from the year 1996 to the year 2005, from $1,122 to $1,092. On the other hand, all college graduates weekly wages increased from $1,292 to $1,416 over the same period. Furthermore, for all tutors, the relative wage gap has increasingly grown from the mid-1990s from -1.8% in 1994 to -17.0% in the year 2015, there is an estimated wage gap of -13.9% for female teachers.  As relative teacher wage gaps have broadened, the differences may be attributed to trade off between benefits and pay. Non-wage benefits as a share of total compensation in 2016 were more important for tutors at 26.6% than for other professionals at 21.6%. The bottom line is that teacher compensation has decreased from the 1990s to date (Clotfelter, 2008). </w:t>
      </w:r>
    </w:p>
    <w:p w:rsidR="00CD70AE" w:rsidRPr="005B3C62" w:rsidRDefault="00485569" w:rsidP="00F96206">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An effective tutor is the most crucial school-based determinant of education outcome. It is essential that the state recruit and retain high-quality tutors. Many factors are increasing the demand for teachers including the desire to increase diversity, the shrinking class size, and the need to meet higher standards. Simply, the demand is escalating while the supply of teachers is diminishing simultaneously. The supply is decreasing at every stage of the career ladder. On the </w:t>
      </w:r>
      <w:r w:rsidRPr="005B3C62">
        <w:rPr>
          <w:rFonts w:ascii="Times New Roman" w:hAnsi="Times New Roman" w:cs="Times New Roman"/>
          <w:sz w:val="24"/>
          <w:szCs w:val="24"/>
        </w:rPr>
        <w:lastRenderedPageBreak/>
        <w:t xml:space="preserve">front end, very few students are entering the profession, the small fraction of the skilled college students who chose to become teachers has declined for decades, and all this is intertwined to poor pay and remuneration. Several factors are connected to the trend, the major one been that tutors are less satisfied and more stressed due to the disproportionate and the inequality in their pay system. Additionally, the structure used to compensate teachers does not meet their demands given that the economic situations have increased over the years. There has been no goodwill negotiations between the state and the teachers to collectively agree on how they should be compensated thus the Union feels that teachers have been neglected based on the fact that the gap between the teacher pay and other professionals in widening after every financial year. The teachers have unsuccessfully attempted to express their concerns but all their claims have been ignored. Strikes and go-slows to attract the attention of the state government to address their concerns have not borne any </w:t>
      </w:r>
      <w:r w:rsidR="0006194F" w:rsidRPr="005B3C62">
        <w:rPr>
          <w:rFonts w:ascii="Times New Roman" w:hAnsi="Times New Roman" w:cs="Times New Roman"/>
          <w:sz w:val="24"/>
          <w:szCs w:val="24"/>
        </w:rPr>
        <w:t>fruits;</w:t>
      </w:r>
      <w:r w:rsidRPr="005B3C62">
        <w:rPr>
          <w:rFonts w:ascii="Times New Roman" w:hAnsi="Times New Roman" w:cs="Times New Roman"/>
          <w:sz w:val="24"/>
          <w:szCs w:val="24"/>
        </w:rPr>
        <w:t xml:space="preserve"> many are the times they are promised to have a pay rise within the next financial year, which has not been the case even for one single moment. We are calling for the attention of the National Education Association to address the matter, which have not been a concern for many years</w:t>
      </w:r>
      <w:r w:rsidR="00CD70AE" w:rsidRPr="005B3C62">
        <w:rPr>
          <w:rFonts w:ascii="Times New Roman" w:hAnsi="Times New Roman" w:cs="Times New Roman"/>
          <w:sz w:val="24"/>
          <w:szCs w:val="24"/>
        </w:rPr>
        <w:t xml:space="preserve">. </w:t>
      </w:r>
      <w:hyperlink r:id="rId9" w:tgtFrame="_blank" w:history="1">
        <w:r w:rsidR="00CD70AE" w:rsidRPr="005B3C62">
          <w:rPr>
            <w:rStyle w:val="Hyperlink"/>
            <w:rFonts w:ascii="Times New Roman" w:hAnsi="Times New Roman" w:cs="Times New Roman"/>
            <w:color w:val="1155CC"/>
            <w:sz w:val="24"/>
            <w:szCs w:val="24"/>
          </w:rPr>
          <w:t>https://www.unc.edu/~fbaum/books/lobby/Advocacy_July_19_2008.pdf</w:t>
        </w:r>
      </w:hyperlink>
    </w:p>
    <w:p w:rsidR="00C0564D" w:rsidRPr="005B3C62" w:rsidRDefault="00C0564D" w:rsidP="00CD70AE">
      <w:pPr>
        <w:spacing w:line="480" w:lineRule="auto"/>
        <w:ind w:firstLine="720"/>
        <w:rPr>
          <w:rFonts w:ascii="Times New Roman" w:hAnsi="Times New Roman" w:cs="Times New Roman"/>
          <w:b/>
          <w:sz w:val="24"/>
          <w:szCs w:val="24"/>
        </w:rPr>
      </w:pPr>
    </w:p>
    <w:p w:rsidR="00C0564D" w:rsidRPr="005B3C62" w:rsidRDefault="00C0564D" w:rsidP="00C0564D">
      <w:pPr>
        <w:spacing w:line="480" w:lineRule="auto"/>
        <w:rPr>
          <w:rFonts w:ascii="Times New Roman" w:hAnsi="Times New Roman" w:cs="Times New Roman"/>
          <w:b/>
          <w:sz w:val="24"/>
          <w:szCs w:val="24"/>
        </w:rPr>
      </w:pPr>
    </w:p>
    <w:p w:rsidR="00485569" w:rsidRPr="005B3C62" w:rsidRDefault="00485569" w:rsidP="005B3C62">
      <w:pPr>
        <w:pStyle w:val="Heading1"/>
        <w:jc w:val="center"/>
        <w:rPr>
          <w:rFonts w:ascii="Times New Roman" w:hAnsi="Times New Roman" w:cs="Times New Roman"/>
          <w:sz w:val="24"/>
          <w:szCs w:val="24"/>
        </w:rPr>
      </w:pPr>
      <w:bookmarkStart w:id="5" w:name="_Toc512132795"/>
      <w:r w:rsidRPr="005B3C62">
        <w:rPr>
          <w:rFonts w:ascii="Times New Roman" w:hAnsi="Times New Roman" w:cs="Times New Roman"/>
          <w:sz w:val="24"/>
          <w:szCs w:val="24"/>
        </w:rPr>
        <w:t>Specific attention to sequencing</w:t>
      </w:r>
      <w:bookmarkEnd w:id="5"/>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The national and the state government has to take a broad step and address the issue, steps to address the issue are clear and precise. As mentioned earlier money or resources is not the problem but the will the stakeholders to allocate more funds to pay teachers. The ministry of </w:t>
      </w:r>
      <w:r w:rsidRPr="005B3C62">
        <w:rPr>
          <w:rFonts w:ascii="Times New Roman" w:hAnsi="Times New Roman" w:cs="Times New Roman"/>
          <w:sz w:val="24"/>
          <w:szCs w:val="24"/>
        </w:rPr>
        <w:lastRenderedPageBreak/>
        <w:t xml:space="preserve">education needs to consider convening a meeting with the teachers Union leaders and have a collective bargaining agreement that will address the issues of teachers’ compensation. The teacher employers need also to promise teachers to </w:t>
      </w:r>
      <w:r w:rsidR="0006194F" w:rsidRPr="005B3C62">
        <w:rPr>
          <w:rFonts w:ascii="Times New Roman" w:hAnsi="Times New Roman" w:cs="Times New Roman"/>
          <w:sz w:val="24"/>
          <w:szCs w:val="24"/>
        </w:rPr>
        <w:t>honor</w:t>
      </w:r>
      <w:r w:rsidRPr="005B3C62">
        <w:rPr>
          <w:rFonts w:ascii="Times New Roman" w:hAnsi="Times New Roman" w:cs="Times New Roman"/>
          <w:sz w:val="24"/>
          <w:szCs w:val="24"/>
        </w:rPr>
        <w:t xml:space="preserve"> the collective bargaining agreement as opposed to just formulating and signing. Agreements that have been there before have not been </w:t>
      </w:r>
      <w:r w:rsidR="0006194F" w:rsidRPr="005B3C62">
        <w:rPr>
          <w:rFonts w:ascii="Times New Roman" w:hAnsi="Times New Roman" w:cs="Times New Roman"/>
          <w:sz w:val="24"/>
          <w:szCs w:val="24"/>
        </w:rPr>
        <w:t>honored</w:t>
      </w:r>
      <w:r w:rsidRPr="005B3C62">
        <w:rPr>
          <w:rFonts w:ascii="Times New Roman" w:hAnsi="Times New Roman" w:cs="Times New Roman"/>
          <w:sz w:val="24"/>
          <w:szCs w:val="24"/>
        </w:rPr>
        <w:t xml:space="preserve"> the mistake should not be repeated again to promote transparency between the teachers and the employer this will also ensure that teachers deliver in their call and improve the quality of education (Hargreaves, 2003).</w:t>
      </w:r>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The Union and the other relevant parties’ needs to convene, negotiate, discuss and come up with a solution that will be agreed upon by all parties. The Union together with its members should then analyze the agreement and decide whether they are satisfied. The National Education Association and the teachers’ Unions needs to speak in the same language and advocate for teachers pay rise. The government must put resources into this system to work where the teachers will receive a pay rise for the services they offer (Hargreaves, 2003).</w:t>
      </w:r>
    </w:p>
    <w:p w:rsidR="00485569" w:rsidRPr="005B3C62" w:rsidRDefault="00485569" w:rsidP="005B3C62">
      <w:pPr>
        <w:pStyle w:val="Heading1"/>
        <w:jc w:val="center"/>
        <w:rPr>
          <w:rFonts w:ascii="Times New Roman" w:hAnsi="Times New Roman" w:cs="Times New Roman"/>
          <w:sz w:val="24"/>
          <w:szCs w:val="24"/>
        </w:rPr>
      </w:pPr>
      <w:bookmarkStart w:id="6" w:name="_Toc512132796"/>
      <w:r w:rsidRPr="005B3C62">
        <w:rPr>
          <w:rFonts w:ascii="Times New Roman" w:hAnsi="Times New Roman" w:cs="Times New Roman"/>
          <w:sz w:val="24"/>
          <w:szCs w:val="24"/>
        </w:rPr>
        <w:t>Policy issues</w:t>
      </w:r>
      <w:bookmarkEnd w:id="6"/>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National Education Association is responsible for supporting public school teachers and other support personnel, faculty and staffers at college and universities, retired educators and college students aspiring to become tutors. Their mission is to advocate for education professionals and to unite their members and the country to </w:t>
      </w:r>
      <w:r w:rsidR="0006194F" w:rsidRPr="005B3C62">
        <w:rPr>
          <w:rFonts w:ascii="Times New Roman" w:hAnsi="Times New Roman" w:cs="Times New Roman"/>
          <w:sz w:val="24"/>
          <w:szCs w:val="24"/>
        </w:rPr>
        <w:t>fulfill</w:t>
      </w:r>
      <w:r w:rsidRPr="005B3C62">
        <w:rPr>
          <w:rFonts w:ascii="Times New Roman" w:hAnsi="Times New Roman" w:cs="Times New Roman"/>
          <w:sz w:val="24"/>
          <w:szCs w:val="24"/>
        </w:rPr>
        <w:t xml:space="preserve"> the promise of public education to prepare every student to succeed in a diverse and independent world. The National Education Association has taken a position on policy issues including, increasing funds for education, a minimum $40,000 starting annual salary for all teachers and lowering the achievement gap. The teacher's remuneration policy does not specify the trend or how the teachers pay should grow for a certain period it also generalizes all teachers without putting into </w:t>
      </w:r>
      <w:r w:rsidRPr="005B3C62">
        <w:rPr>
          <w:rFonts w:ascii="Times New Roman" w:hAnsi="Times New Roman" w:cs="Times New Roman"/>
          <w:sz w:val="24"/>
          <w:szCs w:val="24"/>
        </w:rPr>
        <w:lastRenderedPageBreak/>
        <w:t>consideration to their individual performances. These uncompetitive salaries will only make it complicated to attract the best talents to the teaching profession. The continued teachers’ depression wages will harm the quality of schooling based on the world’s educational figures. The fall in the teachers pays continuously, widen the gap between them and equally qualified professions from other fields putting the future of teaching career at stake (Lazear, 2001).</w:t>
      </w:r>
    </w:p>
    <w:p w:rsidR="00485569" w:rsidRPr="005B3C62" w:rsidRDefault="00485569" w:rsidP="005B3C62">
      <w:pPr>
        <w:pStyle w:val="Heading1"/>
        <w:jc w:val="center"/>
        <w:rPr>
          <w:rFonts w:ascii="Times New Roman" w:hAnsi="Times New Roman" w:cs="Times New Roman"/>
          <w:sz w:val="24"/>
          <w:szCs w:val="24"/>
        </w:rPr>
      </w:pPr>
      <w:bookmarkStart w:id="7" w:name="_Toc512132797"/>
      <w:r w:rsidRPr="005B3C62">
        <w:rPr>
          <w:rFonts w:ascii="Times New Roman" w:hAnsi="Times New Roman" w:cs="Times New Roman"/>
          <w:sz w:val="24"/>
          <w:szCs w:val="24"/>
        </w:rPr>
        <w:t>Benefits</w:t>
      </w:r>
      <w:bookmarkEnd w:id="7"/>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The advocacy paper is aimed at campaigning for a rise in the teachers pay; data have shown that teaching is among the most unappreciated profession in terms of remuneration. It’s the authors hope that the National Education Association will put into consideration the issues contained in this document to ensure that teachers are compensated in the same way as other professions. Working on this issue will create a corporate culture of happiness and boost the morale of the teachers, which will result in increased quality education and greater achievements in attracting more top talents in the teaching career. This social problem has existed for a very long period and the attempts by teachers to have the issue addressed through strikes and go-slows have been ignored with only negative effects befalling the students and the quality of education (Mok, 2000). </w:t>
      </w:r>
    </w:p>
    <w:p w:rsidR="00485569" w:rsidRPr="005B3C62" w:rsidRDefault="00485569" w:rsidP="00485569">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A teacher has taken through every person who has an opportunity to go to school. Every tutor has laid a profound legacy on their students and therefore deserves to be exalted in their profession. Many people might think that teachers are paid too much in their profession; in this case, one must be prudent in their beliefs by considering plausible reasons that tutors deserve a pay rise, such as the role they play in our future. Teachers are spending more time in the classroom than anyone would anticipate and what come on their way, as compensation is not comparable to their efforts. Tutors are the foundation for our future, they guarantee a society of </w:t>
      </w:r>
      <w:r w:rsidRPr="005B3C62">
        <w:rPr>
          <w:rFonts w:ascii="Times New Roman" w:hAnsi="Times New Roman" w:cs="Times New Roman"/>
          <w:sz w:val="24"/>
          <w:szCs w:val="24"/>
        </w:rPr>
        <w:lastRenderedPageBreak/>
        <w:t xml:space="preserve">continued innovation by educating the people who will ounce lead the nation. The American citizens need to invest more resources and money to ensure that those who take a broad step and wish to become teachers are not deterred by factors surrounding a pay gap. There are endless benefits associated with increasing teacher pay ranging from quality education, committed to delivering, improved performance, attracting more talents to the teaching industry and many more. All levels of educators are experiencing the same challenges, from preschool educators to tertiary level instructors; about a third of preschool educators in the United States receive very low pay so that they receive assistance from the public for food stamps and medics despite working full time. Low payment discourages bright young adults from teaching kids in their early years at the end of the </w:t>
      </w:r>
      <w:r w:rsidR="008F3D0A" w:rsidRPr="005B3C62">
        <w:rPr>
          <w:rFonts w:ascii="Times New Roman" w:hAnsi="Times New Roman" w:cs="Times New Roman"/>
          <w:sz w:val="24"/>
          <w:szCs w:val="24"/>
        </w:rPr>
        <w:t>day;</w:t>
      </w:r>
      <w:r w:rsidRPr="005B3C62">
        <w:rPr>
          <w:rFonts w:ascii="Times New Roman" w:hAnsi="Times New Roman" w:cs="Times New Roman"/>
          <w:sz w:val="24"/>
          <w:szCs w:val="24"/>
        </w:rPr>
        <w:t xml:space="preserve"> low pay for teachers ends up affecting all of us. Compared to other many social problems, this one is not intractable, the fact is money is not the problem but there is no will to do it. Investing in teachers is investing in our children as well as our country (Feiman, 1984). </w:t>
      </w:r>
    </w:p>
    <w:p w:rsidR="00485569" w:rsidRPr="005B3C62" w:rsidRDefault="00DB3A32" w:rsidP="005B3C62">
      <w:pPr>
        <w:pStyle w:val="Heading1"/>
        <w:jc w:val="center"/>
        <w:rPr>
          <w:rFonts w:ascii="Times New Roman" w:hAnsi="Times New Roman" w:cs="Times New Roman"/>
          <w:sz w:val="24"/>
          <w:szCs w:val="24"/>
        </w:rPr>
      </w:pPr>
      <w:bookmarkStart w:id="8" w:name="_Toc512132798"/>
      <w:r w:rsidRPr="005B3C62">
        <w:rPr>
          <w:rFonts w:ascii="Times New Roman" w:hAnsi="Times New Roman" w:cs="Times New Roman"/>
          <w:sz w:val="24"/>
          <w:szCs w:val="24"/>
        </w:rPr>
        <w:t>Current organizational resources</w:t>
      </w:r>
      <w:bookmarkEnd w:id="8"/>
    </w:p>
    <w:p w:rsidR="00454114" w:rsidRPr="005B3C62" w:rsidRDefault="00B6710C" w:rsidP="00222DB1">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Most recently, the organization passed the financial year 2018 financial bill </w:t>
      </w:r>
      <w:r w:rsidRPr="005B3C62">
        <w:rPr>
          <w:rFonts w:ascii="Times New Roman" w:hAnsi="Times New Roman" w:cs="Times New Roman"/>
          <w:sz w:val="24"/>
          <w:szCs w:val="24"/>
          <w:shd w:val="clear" w:color="auto" w:fill="FFFFFF"/>
        </w:rPr>
        <w:t>that includes long overdue increases in education funding the organization also plans to allocate $2.3 billion for the teacher’s salary increase the concern is the amount allocated as the teachers pay increase. To cover the existing gap between the teachers pay and other professionals the organization requires allocating an addition of $1.3 billion to total $3.6 billion, which is the existing gap</w:t>
      </w:r>
      <w:r w:rsidR="00597DFA" w:rsidRPr="005B3C62">
        <w:rPr>
          <w:rFonts w:ascii="Times New Roman" w:hAnsi="Times New Roman" w:cs="Times New Roman"/>
          <w:sz w:val="24"/>
          <w:szCs w:val="24"/>
          <w:shd w:val="clear" w:color="auto" w:fill="FFFFFF"/>
        </w:rPr>
        <w:t xml:space="preserve"> the total budget is in excess of $500 billion</w:t>
      </w:r>
      <w:r w:rsidRPr="005B3C62">
        <w:rPr>
          <w:rFonts w:ascii="Times New Roman" w:hAnsi="Times New Roman" w:cs="Times New Roman"/>
          <w:sz w:val="24"/>
          <w:szCs w:val="24"/>
          <w:shd w:val="clear" w:color="auto" w:fill="FFFFFF"/>
        </w:rPr>
        <w:t xml:space="preserve">. </w:t>
      </w:r>
      <w:r w:rsidR="00C1551A" w:rsidRPr="005B3C62">
        <w:rPr>
          <w:rStyle w:val="Emphasis"/>
          <w:rFonts w:ascii="Times New Roman" w:hAnsi="Times New Roman" w:cs="Times New Roman"/>
          <w:i w:val="0"/>
          <w:sz w:val="24"/>
          <w:szCs w:val="24"/>
        </w:rPr>
        <w:t xml:space="preserve">According to </w:t>
      </w:r>
      <w:r w:rsidR="00A91033" w:rsidRPr="005B3C62">
        <w:rPr>
          <w:rStyle w:val="Emphasis"/>
          <w:rFonts w:ascii="Times New Roman" w:hAnsi="Times New Roman" w:cs="Times New Roman"/>
          <w:i w:val="0"/>
          <w:sz w:val="24"/>
          <w:szCs w:val="24"/>
        </w:rPr>
        <w:t>the</w:t>
      </w:r>
      <w:r w:rsidR="00C1551A" w:rsidRPr="005B3C62">
        <w:rPr>
          <w:rStyle w:val="Emphasis"/>
          <w:rFonts w:ascii="Times New Roman" w:hAnsi="Times New Roman" w:cs="Times New Roman"/>
          <w:i w:val="0"/>
          <w:sz w:val="24"/>
          <w:szCs w:val="24"/>
        </w:rPr>
        <w:t xml:space="preserve"> Wall Street Journal</w:t>
      </w:r>
      <w:r w:rsidR="00C1551A" w:rsidRPr="005B3C62">
        <w:rPr>
          <w:rStyle w:val="apple-converted-space"/>
          <w:rFonts w:ascii="Times New Roman" w:hAnsi="Times New Roman" w:cs="Times New Roman"/>
          <w:sz w:val="24"/>
          <w:szCs w:val="24"/>
        </w:rPr>
        <w:t> </w:t>
      </w:r>
      <w:r w:rsidR="00A91033" w:rsidRPr="005B3C62">
        <w:rPr>
          <w:rFonts w:ascii="Times New Roman" w:hAnsi="Times New Roman" w:cs="Times New Roman"/>
          <w:sz w:val="24"/>
          <w:szCs w:val="24"/>
        </w:rPr>
        <w:t>report</w:t>
      </w:r>
      <w:r w:rsidR="00C1551A" w:rsidRPr="005B3C62">
        <w:rPr>
          <w:rFonts w:ascii="Times New Roman" w:hAnsi="Times New Roman" w:cs="Times New Roman"/>
          <w:sz w:val="24"/>
          <w:szCs w:val="24"/>
        </w:rPr>
        <w:t xml:space="preserve"> in July</w:t>
      </w:r>
      <w:r w:rsidR="00A91033" w:rsidRPr="005B3C62">
        <w:rPr>
          <w:rFonts w:ascii="Times New Roman" w:hAnsi="Times New Roman" w:cs="Times New Roman"/>
          <w:sz w:val="24"/>
          <w:szCs w:val="24"/>
        </w:rPr>
        <w:t xml:space="preserve"> 2017</w:t>
      </w:r>
      <w:r w:rsidR="00C1551A" w:rsidRPr="005B3C62">
        <w:rPr>
          <w:rFonts w:ascii="Times New Roman" w:hAnsi="Times New Roman" w:cs="Times New Roman"/>
          <w:sz w:val="24"/>
          <w:szCs w:val="24"/>
        </w:rPr>
        <w:t xml:space="preserve"> the National Education </w:t>
      </w:r>
      <w:r w:rsidR="005971C8" w:rsidRPr="005B3C62">
        <w:rPr>
          <w:rFonts w:ascii="Times New Roman" w:hAnsi="Times New Roman" w:cs="Times New Roman"/>
          <w:sz w:val="24"/>
          <w:szCs w:val="24"/>
        </w:rPr>
        <w:t>Association</w:t>
      </w:r>
      <w:r w:rsidR="00C1551A" w:rsidRPr="005B3C62">
        <w:rPr>
          <w:rStyle w:val="apple-converted-space"/>
          <w:rFonts w:ascii="Times New Roman" w:hAnsi="Times New Roman" w:cs="Times New Roman"/>
          <w:sz w:val="24"/>
          <w:szCs w:val="24"/>
        </w:rPr>
        <w:t> </w:t>
      </w:r>
      <w:hyperlink r:id="rId10" w:tgtFrame="_hplink" w:history="1">
        <w:r w:rsidR="00C50797" w:rsidRPr="005B3C62">
          <w:rPr>
            <w:rStyle w:val="Hyperlink"/>
            <w:rFonts w:ascii="Times New Roman" w:hAnsi="Times New Roman" w:cs="Times New Roman"/>
            <w:color w:val="auto"/>
            <w:sz w:val="24"/>
            <w:szCs w:val="24"/>
            <w:u w:val="none"/>
          </w:rPr>
          <w:t>spent a</w:t>
        </w:r>
        <w:r w:rsidR="00C1551A" w:rsidRPr="005B3C62">
          <w:rPr>
            <w:rStyle w:val="Hyperlink"/>
            <w:rFonts w:ascii="Times New Roman" w:hAnsi="Times New Roman" w:cs="Times New Roman"/>
            <w:color w:val="auto"/>
            <w:sz w:val="24"/>
            <w:szCs w:val="24"/>
            <w:u w:val="none"/>
          </w:rPr>
          <w:t xml:space="preserve"> $330 million in the past five years</w:t>
        </w:r>
      </w:hyperlink>
      <w:r w:rsidR="00C1551A" w:rsidRPr="005B3C62">
        <w:rPr>
          <w:rStyle w:val="apple-converted-space"/>
          <w:rFonts w:ascii="Times New Roman" w:hAnsi="Times New Roman" w:cs="Times New Roman"/>
          <w:sz w:val="24"/>
          <w:szCs w:val="24"/>
        </w:rPr>
        <w:t> </w:t>
      </w:r>
      <w:r w:rsidR="00C1551A" w:rsidRPr="005B3C62">
        <w:rPr>
          <w:rFonts w:ascii="Times New Roman" w:hAnsi="Times New Roman" w:cs="Times New Roman"/>
          <w:sz w:val="24"/>
          <w:szCs w:val="24"/>
        </w:rPr>
        <w:t xml:space="preserve">on outside causes, political campaigns, lobbying and issue education. Members’ dues underwrite much of the unions’ political activities, but donations to candidates, parties and PACs are funded by </w:t>
      </w:r>
      <w:r w:rsidR="00C1551A" w:rsidRPr="005B3C62">
        <w:rPr>
          <w:rFonts w:ascii="Times New Roman" w:hAnsi="Times New Roman" w:cs="Times New Roman"/>
          <w:sz w:val="24"/>
          <w:szCs w:val="24"/>
        </w:rPr>
        <w:lastRenderedPageBreak/>
        <w:t>voluntary contributions.</w:t>
      </w:r>
      <w:r w:rsidR="00C50797" w:rsidRPr="005B3C62">
        <w:rPr>
          <w:rFonts w:ascii="Times New Roman" w:hAnsi="Times New Roman" w:cs="Times New Roman"/>
          <w:sz w:val="24"/>
          <w:szCs w:val="24"/>
        </w:rPr>
        <w:t xml:space="preserve"> </w:t>
      </w:r>
      <w:r w:rsidR="007553D9" w:rsidRPr="005B3C62">
        <w:rPr>
          <w:rFonts w:ascii="Times New Roman" w:hAnsi="Times New Roman" w:cs="Times New Roman"/>
          <w:sz w:val="24"/>
          <w:szCs w:val="24"/>
        </w:rPr>
        <w:t>Total dues income for NEA and its state affiliates still</w:t>
      </w:r>
      <w:r w:rsidR="007553D9" w:rsidRPr="005B3C62">
        <w:rPr>
          <w:rStyle w:val="apple-converted-space"/>
          <w:rFonts w:ascii="Times New Roman" w:hAnsi="Times New Roman" w:cs="Times New Roman"/>
          <w:sz w:val="24"/>
          <w:szCs w:val="24"/>
        </w:rPr>
        <w:t> </w:t>
      </w:r>
      <w:hyperlink r:id="rId11" w:tgtFrame="_hplink" w:history="1">
        <w:r w:rsidR="007553D9" w:rsidRPr="005B3C62">
          <w:rPr>
            <w:rStyle w:val="Hyperlink"/>
            <w:rFonts w:ascii="Times New Roman" w:hAnsi="Times New Roman" w:cs="Times New Roman"/>
            <w:color w:val="auto"/>
            <w:sz w:val="24"/>
            <w:szCs w:val="24"/>
            <w:u w:val="none"/>
          </w:rPr>
          <w:t>exceeded $1.4 billion for the year</w:t>
        </w:r>
      </w:hyperlink>
      <w:r w:rsidR="007553D9" w:rsidRPr="005B3C62">
        <w:rPr>
          <w:rFonts w:ascii="Times New Roman" w:hAnsi="Times New Roman" w:cs="Times New Roman"/>
          <w:sz w:val="24"/>
          <w:szCs w:val="24"/>
        </w:rPr>
        <w:t xml:space="preserve">, despite the fact that 15 affiliates spent more than </w:t>
      </w:r>
      <w:r w:rsidR="00E17DAC" w:rsidRPr="005B3C62">
        <w:rPr>
          <w:rFonts w:ascii="Times New Roman" w:hAnsi="Times New Roman" w:cs="Times New Roman"/>
          <w:sz w:val="24"/>
          <w:szCs w:val="24"/>
        </w:rPr>
        <w:t>they collected from all sources</w:t>
      </w:r>
      <w:r w:rsidR="00875A9D" w:rsidRPr="005B3C62">
        <w:rPr>
          <w:rFonts w:ascii="Times New Roman" w:hAnsi="Times New Roman" w:cs="Times New Roman"/>
          <w:sz w:val="24"/>
          <w:szCs w:val="24"/>
        </w:rPr>
        <w:t xml:space="preserve"> </w:t>
      </w:r>
      <w:r w:rsidR="00222DB1" w:rsidRPr="005B3C62">
        <w:rPr>
          <w:rFonts w:ascii="Times New Roman" w:hAnsi="Times New Roman" w:cs="Times New Roman"/>
          <w:sz w:val="24"/>
          <w:szCs w:val="24"/>
        </w:rPr>
        <w:t xml:space="preserve">(Mok, 2000). </w:t>
      </w:r>
    </w:p>
    <w:p w:rsidR="00050D6B" w:rsidRPr="005B3C62" w:rsidRDefault="00050D6B" w:rsidP="005B3C62">
      <w:pPr>
        <w:pStyle w:val="Heading1"/>
        <w:jc w:val="center"/>
        <w:rPr>
          <w:rFonts w:ascii="Times New Roman" w:hAnsi="Times New Roman" w:cs="Times New Roman"/>
          <w:sz w:val="24"/>
          <w:szCs w:val="24"/>
        </w:rPr>
      </w:pPr>
      <w:bookmarkStart w:id="9" w:name="_Toc512132799"/>
      <w:r w:rsidRPr="005B3C62">
        <w:rPr>
          <w:rFonts w:ascii="Times New Roman" w:hAnsi="Times New Roman" w:cs="Times New Roman"/>
          <w:sz w:val="24"/>
          <w:szCs w:val="24"/>
        </w:rPr>
        <w:t>Social networks and the advocacy</w:t>
      </w:r>
      <w:bookmarkEnd w:id="9"/>
    </w:p>
    <w:p w:rsidR="00FB40B2" w:rsidRPr="005B3C62" w:rsidRDefault="004E5561" w:rsidP="00FB40B2">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Social networks platforms such Facebook, twitter, handles, Skype, email, instagram and others have been widely acceptable worldwide as means of communication.</w:t>
      </w:r>
      <w:r w:rsidR="00BE76F2" w:rsidRPr="005B3C62">
        <w:rPr>
          <w:rFonts w:ascii="Times New Roman" w:hAnsi="Times New Roman" w:cs="Times New Roman"/>
          <w:sz w:val="24"/>
          <w:szCs w:val="24"/>
        </w:rPr>
        <w:t xml:space="preserve"> The major </w:t>
      </w:r>
      <w:r w:rsidR="00BF2D3C" w:rsidRPr="005B3C62">
        <w:rPr>
          <w:rFonts w:ascii="Times New Roman" w:hAnsi="Times New Roman" w:cs="Times New Roman"/>
          <w:sz w:val="24"/>
          <w:szCs w:val="24"/>
        </w:rPr>
        <w:t>effect has</w:t>
      </w:r>
      <w:r w:rsidR="00BE76F2" w:rsidRPr="005B3C62">
        <w:rPr>
          <w:rFonts w:ascii="Times New Roman" w:hAnsi="Times New Roman" w:cs="Times New Roman"/>
          <w:sz w:val="24"/>
          <w:szCs w:val="24"/>
        </w:rPr>
        <w:t xml:space="preserve"> been transforming the world into a global village since it is easy to communicate with people from other countries very fast.</w:t>
      </w:r>
      <w:r w:rsidR="00BF2D3C" w:rsidRPr="005B3C62">
        <w:rPr>
          <w:rFonts w:ascii="Times New Roman" w:hAnsi="Times New Roman" w:cs="Times New Roman"/>
          <w:sz w:val="24"/>
          <w:szCs w:val="24"/>
        </w:rPr>
        <w:t xml:space="preserve"> In relation to the advocacy campaign, these platforms can be used for various </w:t>
      </w:r>
      <w:r w:rsidR="00421338" w:rsidRPr="005B3C62">
        <w:rPr>
          <w:rFonts w:ascii="Times New Roman" w:hAnsi="Times New Roman" w:cs="Times New Roman"/>
          <w:sz w:val="24"/>
          <w:szCs w:val="24"/>
        </w:rPr>
        <w:t>reasons</w:t>
      </w:r>
      <w:r w:rsidR="00BF2D3C" w:rsidRPr="005B3C62">
        <w:rPr>
          <w:rFonts w:ascii="Times New Roman" w:hAnsi="Times New Roman" w:cs="Times New Roman"/>
          <w:sz w:val="24"/>
          <w:szCs w:val="24"/>
        </w:rPr>
        <w:t xml:space="preserve">; </w:t>
      </w:r>
      <w:r w:rsidR="006C2D20" w:rsidRPr="005B3C62">
        <w:rPr>
          <w:rFonts w:ascii="Times New Roman" w:hAnsi="Times New Roman" w:cs="Times New Roman"/>
          <w:sz w:val="24"/>
          <w:szCs w:val="24"/>
        </w:rPr>
        <w:t>the most effective way they can be applied is to amplify the campaign to reach as many people as possible using the social networks to echo the same message.</w:t>
      </w:r>
      <w:r w:rsidR="009B264E" w:rsidRPr="005B3C62">
        <w:rPr>
          <w:rFonts w:ascii="Times New Roman" w:hAnsi="Times New Roman" w:cs="Times New Roman"/>
          <w:sz w:val="24"/>
          <w:szCs w:val="24"/>
        </w:rPr>
        <w:t xml:space="preserve"> </w:t>
      </w:r>
      <w:r w:rsidR="00392A87" w:rsidRPr="005B3C62">
        <w:rPr>
          <w:rFonts w:ascii="Times New Roman" w:hAnsi="Times New Roman" w:cs="Times New Roman"/>
          <w:sz w:val="24"/>
          <w:szCs w:val="24"/>
        </w:rPr>
        <w:t>Additionally</w:t>
      </w:r>
      <w:r w:rsidR="009B264E" w:rsidRPr="005B3C62">
        <w:rPr>
          <w:rFonts w:ascii="Times New Roman" w:hAnsi="Times New Roman" w:cs="Times New Roman"/>
          <w:sz w:val="24"/>
          <w:szCs w:val="24"/>
        </w:rPr>
        <w:t>,</w:t>
      </w:r>
      <w:r w:rsidR="003A3938" w:rsidRPr="005B3C62">
        <w:rPr>
          <w:rFonts w:ascii="Times New Roman" w:hAnsi="Times New Roman" w:cs="Times New Roman"/>
          <w:sz w:val="24"/>
          <w:szCs w:val="24"/>
        </w:rPr>
        <w:t xml:space="preserve"> the social platforms can be used to raise alternative ideas of how resources can be mobilized, managed and utilized to cater for teachers needs.</w:t>
      </w:r>
      <w:r w:rsidR="004F5C28" w:rsidRPr="005B3C62">
        <w:rPr>
          <w:rFonts w:ascii="Times New Roman" w:hAnsi="Times New Roman" w:cs="Times New Roman"/>
          <w:sz w:val="24"/>
          <w:szCs w:val="24"/>
        </w:rPr>
        <w:t xml:space="preserve"> Finally, </w:t>
      </w:r>
      <w:r w:rsidR="00730A8D" w:rsidRPr="005B3C62">
        <w:rPr>
          <w:rFonts w:ascii="Times New Roman" w:hAnsi="Times New Roman" w:cs="Times New Roman"/>
          <w:sz w:val="24"/>
          <w:szCs w:val="24"/>
        </w:rPr>
        <w:t xml:space="preserve">teachers can use the social platforms to raise more concerns and draw the attention of the government to address the issues through the National Education </w:t>
      </w:r>
      <w:r w:rsidR="00FB40B2" w:rsidRPr="005B3C62">
        <w:rPr>
          <w:rFonts w:ascii="Times New Roman" w:hAnsi="Times New Roman" w:cs="Times New Roman"/>
          <w:sz w:val="24"/>
          <w:szCs w:val="24"/>
        </w:rPr>
        <w:t xml:space="preserve">Association (Mok, 2000). </w:t>
      </w:r>
    </w:p>
    <w:p w:rsidR="00FD4F3A" w:rsidRPr="005B3C62" w:rsidRDefault="004E5561" w:rsidP="002A789F">
      <w:pPr>
        <w:spacing w:line="480" w:lineRule="auto"/>
        <w:ind w:firstLine="720"/>
        <w:rPr>
          <w:rFonts w:ascii="Times New Roman" w:hAnsi="Times New Roman" w:cs="Times New Roman"/>
          <w:sz w:val="24"/>
          <w:szCs w:val="24"/>
        </w:rPr>
      </w:pPr>
      <w:r w:rsidRPr="005B3C62">
        <w:rPr>
          <w:rFonts w:ascii="Times New Roman" w:hAnsi="Times New Roman" w:cs="Times New Roman"/>
          <w:sz w:val="24"/>
          <w:szCs w:val="24"/>
        </w:rPr>
        <w:t xml:space="preserve"> </w:t>
      </w:r>
    </w:p>
    <w:p w:rsidR="00E27120" w:rsidRPr="005B3C62" w:rsidRDefault="00454114" w:rsidP="005B3C62">
      <w:pPr>
        <w:pStyle w:val="Heading1"/>
        <w:jc w:val="center"/>
        <w:rPr>
          <w:rFonts w:ascii="Times New Roman" w:hAnsi="Times New Roman" w:cs="Times New Roman"/>
          <w:sz w:val="24"/>
          <w:szCs w:val="24"/>
        </w:rPr>
      </w:pPr>
      <w:bookmarkStart w:id="10" w:name="_Toc512132800"/>
      <w:r w:rsidRPr="005B3C62">
        <w:rPr>
          <w:rFonts w:ascii="Times New Roman" w:hAnsi="Times New Roman" w:cs="Times New Roman"/>
          <w:sz w:val="24"/>
          <w:szCs w:val="24"/>
        </w:rPr>
        <w:t>Tables and Figures</w:t>
      </w:r>
      <w:bookmarkEnd w:id="10"/>
    </w:p>
    <w:p w:rsidR="00485569" w:rsidRPr="005B3C62" w:rsidRDefault="007E0183" w:rsidP="00E07B25">
      <w:pPr>
        <w:spacing w:line="480" w:lineRule="auto"/>
        <w:jc w:val="center"/>
        <w:rPr>
          <w:rFonts w:ascii="Times New Roman" w:hAnsi="Times New Roman" w:cs="Times New Roman"/>
          <w:sz w:val="24"/>
          <w:szCs w:val="24"/>
        </w:rPr>
      </w:pPr>
      <w:r w:rsidRPr="005B3C62">
        <w:rPr>
          <w:rFonts w:ascii="Times New Roman" w:hAnsi="Times New Roman" w:cs="Times New Roman"/>
          <w:noProof/>
          <w:sz w:val="24"/>
          <w:szCs w:val="24"/>
          <w:lang w:val="en-GB" w:eastAsia="en-GB"/>
        </w:rPr>
        <w:drawing>
          <wp:inline distT="0" distB="0" distL="0" distR="0" wp14:anchorId="36C332BA" wp14:editId="797DD3F9">
            <wp:extent cx="5400675" cy="16097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400675" cy="1609725"/>
                    </a:xfrm>
                    <a:prstGeom prst="rect">
                      <a:avLst/>
                    </a:prstGeom>
                    <a:noFill/>
                    <a:ln w="9525">
                      <a:noFill/>
                      <a:miter lim="800000"/>
                      <a:headEnd/>
                      <a:tailEnd/>
                    </a:ln>
                  </pic:spPr>
                </pic:pic>
              </a:graphicData>
            </a:graphic>
          </wp:inline>
        </w:drawing>
      </w:r>
    </w:p>
    <w:p w:rsidR="006D29D7" w:rsidRPr="005B3C62" w:rsidRDefault="00E07B25" w:rsidP="00E07B25">
      <w:pPr>
        <w:spacing w:line="480" w:lineRule="auto"/>
        <w:jc w:val="center"/>
        <w:rPr>
          <w:rFonts w:ascii="Times New Roman" w:hAnsi="Times New Roman" w:cs="Times New Roman"/>
          <w:sz w:val="24"/>
          <w:szCs w:val="24"/>
        </w:rPr>
      </w:pPr>
      <w:r w:rsidRPr="005B3C62">
        <w:rPr>
          <w:rFonts w:ascii="Times New Roman" w:hAnsi="Times New Roman" w:cs="Times New Roman"/>
          <w:noProof/>
          <w:sz w:val="24"/>
          <w:szCs w:val="24"/>
          <w:lang w:val="en-GB" w:eastAsia="en-GB"/>
        </w:rPr>
        <w:lastRenderedPageBreak/>
        <w:drawing>
          <wp:inline distT="0" distB="0" distL="0" distR="0" wp14:anchorId="6B39DF75" wp14:editId="263E69D7">
            <wp:extent cx="5895975" cy="2971800"/>
            <wp:effectExtent l="19050" t="0" r="952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5895975" cy="2971800"/>
                    </a:xfrm>
                    <a:prstGeom prst="rect">
                      <a:avLst/>
                    </a:prstGeom>
                    <a:noFill/>
                    <a:ln w="9525">
                      <a:noFill/>
                      <a:miter lim="800000"/>
                      <a:headEnd/>
                      <a:tailEnd/>
                    </a:ln>
                  </pic:spPr>
                </pic:pic>
              </a:graphicData>
            </a:graphic>
          </wp:inline>
        </w:drawing>
      </w:r>
    </w:p>
    <w:p w:rsidR="00E07B25" w:rsidRPr="005B3C62" w:rsidRDefault="003C549A" w:rsidP="009C658E">
      <w:pPr>
        <w:spacing w:line="480" w:lineRule="auto"/>
        <w:rPr>
          <w:rFonts w:ascii="Times New Roman" w:hAnsi="Times New Roman" w:cs="Times New Roman"/>
          <w:sz w:val="24"/>
          <w:szCs w:val="24"/>
        </w:rPr>
      </w:pPr>
      <w:r w:rsidRPr="005B3C62">
        <w:rPr>
          <w:rFonts w:ascii="Times New Roman" w:hAnsi="Times New Roman" w:cs="Times New Roman"/>
          <w:noProof/>
          <w:sz w:val="24"/>
          <w:szCs w:val="24"/>
          <w:lang w:val="en-GB" w:eastAsia="en-GB"/>
        </w:rPr>
        <w:drawing>
          <wp:inline distT="0" distB="0" distL="0" distR="0" wp14:anchorId="436F2AF5" wp14:editId="1ACFC848">
            <wp:extent cx="5962650" cy="24479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5962650" cy="2447925"/>
                    </a:xfrm>
                    <a:prstGeom prst="rect">
                      <a:avLst/>
                    </a:prstGeom>
                    <a:noFill/>
                    <a:ln w="9525">
                      <a:noFill/>
                      <a:miter lim="800000"/>
                      <a:headEnd/>
                      <a:tailEnd/>
                    </a:ln>
                  </pic:spPr>
                </pic:pic>
              </a:graphicData>
            </a:graphic>
          </wp:inline>
        </w:drawing>
      </w:r>
    </w:p>
    <w:p w:rsidR="009C658E" w:rsidRPr="005B3C62" w:rsidRDefault="009C658E" w:rsidP="009C658E">
      <w:pPr>
        <w:spacing w:line="480" w:lineRule="auto"/>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5B3C62" w:rsidRPr="005B3C62" w:rsidRDefault="005B3C62" w:rsidP="00760BE2">
      <w:pPr>
        <w:spacing w:line="480" w:lineRule="auto"/>
        <w:jc w:val="center"/>
        <w:rPr>
          <w:rFonts w:ascii="Times New Roman" w:hAnsi="Times New Roman" w:cs="Times New Roman"/>
          <w:sz w:val="24"/>
          <w:szCs w:val="24"/>
        </w:rPr>
      </w:pPr>
    </w:p>
    <w:p w:rsidR="00760BE2" w:rsidRPr="005B3C62" w:rsidRDefault="00613B7F" w:rsidP="005B3C62">
      <w:pPr>
        <w:pStyle w:val="Heading1"/>
        <w:jc w:val="center"/>
        <w:rPr>
          <w:rFonts w:ascii="Times New Roman" w:hAnsi="Times New Roman" w:cs="Times New Roman"/>
          <w:sz w:val="24"/>
          <w:szCs w:val="24"/>
        </w:rPr>
      </w:pPr>
      <w:bookmarkStart w:id="11" w:name="_Toc512132801"/>
      <w:r w:rsidRPr="005B3C62">
        <w:rPr>
          <w:rFonts w:ascii="Times New Roman" w:hAnsi="Times New Roman" w:cs="Times New Roman"/>
          <w:sz w:val="24"/>
          <w:szCs w:val="24"/>
        </w:rPr>
        <w:t>References</w:t>
      </w:r>
      <w:bookmarkEnd w:id="11"/>
    </w:p>
    <w:p w:rsidR="00760BE2" w:rsidRPr="005B3C62" w:rsidRDefault="000571CD" w:rsidP="00760BE2">
      <w:pPr>
        <w:spacing w:line="480" w:lineRule="auto"/>
        <w:rPr>
          <w:rFonts w:ascii="Times New Roman" w:hAnsi="Times New Roman" w:cs="Times New Roman"/>
          <w:sz w:val="24"/>
          <w:szCs w:val="24"/>
        </w:rPr>
      </w:pPr>
      <w:hyperlink r:id="rId15" w:tgtFrame="_blank" w:history="1">
        <w:r w:rsidR="00760BE2" w:rsidRPr="005B3C62">
          <w:rPr>
            <w:rStyle w:val="Hyperlink"/>
            <w:rFonts w:ascii="Times New Roman" w:hAnsi="Times New Roman" w:cs="Times New Roman"/>
            <w:color w:val="1155CC"/>
            <w:sz w:val="24"/>
            <w:szCs w:val="24"/>
          </w:rPr>
          <w:t>https://www.unc.edu/~fbaum/books/lobby/Advocacy_July_19_2008.pdf</w:t>
        </w:r>
      </w:hyperlink>
    </w:p>
    <w:p w:rsidR="008D1214" w:rsidRPr="005B3C62" w:rsidRDefault="00C9248B"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Darling-Hammond, L., &amp; Sykes, G. (2003). Wanted, a national teacher supply policy for education: The right way to meet the" highly qualified teacher" challenge.</w:t>
      </w:r>
      <w:r w:rsidRPr="005B3C62">
        <w:rPr>
          <w:rStyle w:val="apple-converted-space"/>
          <w:rFonts w:ascii="Times New Roman" w:hAnsi="Times New Roman" w:cs="Times New Roman"/>
          <w:color w:val="222222"/>
          <w:sz w:val="24"/>
          <w:szCs w:val="24"/>
          <w:shd w:val="clear" w:color="auto" w:fill="FFFFFF"/>
        </w:rPr>
        <w:t> </w:t>
      </w:r>
      <w:r w:rsidR="008822D3" w:rsidRPr="005B3C62">
        <w:rPr>
          <w:rFonts w:ascii="Times New Roman" w:hAnsi="Times New Roman" w:cs="Times New Roman"/>
          <w:i/>
          <w:iCs/>
          <w:color w:val="222222"/>
          <w:sz w:val="24"/>
          <w:szCs w:val="24"/>
          <w:shd w:val="clear" w:color="auto" w:fill="FFFFFF"/>
        </w:rPr>
        <w:t>Education</w:t>
      </w:r>
      <w:r w:rsidRPr="005B3C62">
        <w:rPr>
          <w:rFonts w:ascii="Times New Roman" w:hAnsi="Times New Roman" w:cs="Times New Roman"/>
          <w:i/>
          <w:iCs/>
          <w:color w:val="222222"/>
          <w:sz w:val="24"/>
          <w:szCs w:val="24"/>
          <w:shd w:val="clear" w:color="auto" w:fill="FFFFFF"/>
        </w:rPr>
        <w:t xml:space="preserve"> policy analysis archives</w:t>
      </w:r>
      <w:r w:rsidRPr="005B3C62">
        <w:rPr>
          <w:rFonts w:ascii="Times New Roman" w:hAnsi="Times New Roman" w:cs="Times New Roman"/>
          <w:color w:val="222222"/>
          <w:sz w:val="24"/>
          <w:szCs w:val="24"/>
          <w:shd w:val="clear" w:color="auto" w:fill="FFFFFF"/>
        </w:rPr>
        <w:t>,</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11</w:t>
      </w:r>
      <w:r w:rsidRPr="005B3C62">
        <w:rPr>
          <w:rFonts w:ascii="Times New Roman" w:hAnsi="Times New Roman" w:cs="Times New Roman"/>
          <w:color w:val="222222"/>
          <w:sz w:val="24"/>
          <w:szCs w:val="24"/>
          <w:shd w:val="clear" w:color="auto" w:fill="FFFFFF"/>
        </w:rPr>
        <w:t>, 33.</w:t>
      </w:r>
    </w:p>
    <w:p w:rsidR="00C9248B" w:rsidRPr="005B3C62" w:rsidRDefault="00C9248B"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lastRenderedPageBreak/>
        <w:t xml:space="preserve">Murnane, R., &amp; Cohen, D. (1986). Merit pay and the evaluation problem: Why most merit pay plans fail and a few </w:t>
      </w:r>
      <w:r w:rsidR="00AF462E" w:rsidRPr="005B3C62">
        <w:rPr>
          <w:rFonts w:ascii="Times New Roman" w:hAnsi="Times New Roman" w:cs="Times New Roman"/>
          <w:color w:val="222222"/>
          <w:sz w:val="24"/>
          <w:szCs w:val="24"/>
          <w:shd w:val="clear" w:color="auto" w:fill="FFFFFF"/>
        </w:rPr>
        <w:t>survive.</w:t>
      </w:r>
      <w:r w:rsidR="00AF462E" w:rsidRPr="005B3C62">
        <w:rPr>
          <w:rFonts w:ascii="Times New Roman" w:hAnsi="Times New Roman" w:cs="Times New Roman"/>
          <w:i/>
          <w:iCs/>
          <w:color w:val="222222"/>
          <w:sz w:val="24"/>
          <w:szCs w:val="24"/>
          <w:shd w:val="clear" w:color="auto" w:fill="FFFFFF"/>
        </w:rPr>
        <w:t xml:space="preserve"> Harvard</w:t>
      </w:r>
      <w:r w:rsidRPr="005B3C62">
        <w:rPr>
          <w:rFonts w:ascii="Times New Roman" w:hAnsi="Times New Roman" w:cs="Times New Roman"/>
          <w:i/>
          <w:iCs/>
          <w:color w:val="222222"/>
          <w:sz w:val="24"/>
          <w:szCs w:val="24"/>
          <w:shd w:val="clear" w:color="auto" w:fill="FFFFFF"/>
        </w:rPr>
        <w:t xml:space="preserve"> educational review</w:t>
      </w:r>
      <w:r w:rsidRPr="005B3C62">
        <w:rPr>
          <w:rFonts w:ascii="Times New Roman" w:hAnsi="Times New Roman" w:cs="Times New Roman"/>
          <w:color w:val="222222"/>
          <w:sz w:val="24"/>
          <w:szCs w:val="24"/>
          <w:shd w:val="clear" w:color="auto" w:fill="FFFFFF"/>
        </w:rPr>
        <w:t>,</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56</w:t>
      </w:r>
      <w:r w:rsidRPr="005B3C62">
        <w:rPr>
          <w:rFonts w:ascii="Times New Roman" w:hAnsi="Times New Roman" w:cs="Times New Roman"/>
          <w:color w:val="222222"/>
          <w:sz w:val="24"/>
          <w:szCs w:val="24"/>
          <w:shd w:val="clear" w:color="auto" w:fill="FFFFFF"/>
        </w:rPr>
        <w:t>(1), 1-18.</w:t>
      </w:r>
    </w:p>
    <w:p w:rsidR="00C9248B" w:rsidRPr="005B3C62" w:rsidRDefault="00C9248B"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Feiman-Nemser, S., &amp; Floden, R. E. (1984). The Cultures of Teaching. Occasional Paper No. 74.</w:t>
      </w:r>
    </w:p>
    <w:p w:rsidR="00C9248B" w:rsidRPr="005B3C62" w:rsidRDefault="00C9248B"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Hargreaves, A. (2003).</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Teaching in the knowledge society: Education in the age of insecurity</w:t>
      </w:r>
      <w:r w:rsidRPr="005B3C62">
        <w:rPr>
          <w:rFonts w:ascii="Times New Roman" w:hAnsi="Times New Roman" w:cs="Times New Roman"/>
          <w:color w:val="222222"/>
          <w:sz w:val="24"/>
          <w:szCs w:val="24"/>
          <w:shd w:val="clear" w:color="auto" w:fill="FFFFFF"/>
        </w:rPr>
        <w:t>. Teachers College Press.</w:t>
      </w:r>
    </w:p>
    <w:p w:rsidR="00C9248B" w:rsidRPr="005B3C62" w:rsidRDefault="00C9248B"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Alam, G. M. (2009). Can governance and regulatory control ensure private higher education as business or public goods in Bangladesh</w:t>
      </w:r>
      <w:proofErr w:type="gramStart"/>
      <w:r w:rsidRPr="005B3C62">
        <w:rPr>
          <w:rFonts w:ascii="Times New Roman" w:hAnsi="Times New Roman" w:cs="Times New Roman"/>
          <w:color w:val="222222"/>
          <w:sz w:val="24"/>
          <w:szCs w:val="24"/>
          <w:shd w:val="clear" w:color="auto" w:fill="FFFFFF"/>
        </w:rPr>
        <w:t>?.</w:t>
      </w:r>
      <w:proofErr w:type="gramEnd"/>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African Journal of Business Management</w:t>
      </w:r>
      <w:r w:rsidRPr="005B3C62">
        <w:rPr>
          <w:rFonts w:ascii="Times New Roman" w:hAnsi="Times New Roman" w:cs="Times New Roman"/>
          <w:color w:val="222222"/>
          <w:sz w:val="24"/>
          <w:szCs w:val="24"/>
          <w:shd w:val="clear" w:color="auto" w:fill="FFFFFF"/>
        </w:rPr>
        <w:t>,</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3</w:t>
      </w:r>
      <w:r w:rsidRPr="005B3C62">
        <w:rPr>
          <w:rFonts w:ascii="Times New Roman" w:hAnsi="Times New Roman" w:cs="Times New Roman"/>
          <w:color w:val="222222"/>
          <w:sz w:val="24"/>
          <w:szCs w:val="24"/>
          <w:shd w:val="clear" w:color="auto" w:fill="FFFFFF"/>
        </w:rPr>
        <w:t>(12), 890.</w:t>
      </w:r>
    </w:p>
    <w:p w:rsidR="00C9248B" w:rsidRPr="005B3C62" w:rsidRDefault="00C9248B"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Johnson, S. M. (2006). The Workplace Matters: Teacher Quality, Retention, and Effectiveness. Working Paper.</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National Education Association Research Department</w:t>
      </w:r>
      <w:r w:rsidRPr="005B3C62">
        <w:rPr>
          <w:rFonts w:ascii="Times New Roman" w:hAnsi="Times New Roman" w:cs="Times New Roman"/>
          <w:color w:val="222222"/>
          <w:sz w:val="24"/>
          <w:szCs w:val="24"/>
          <w:shd w:val="clear" w:color="auto" w:fill="FFFFFF"/>
        </w:rPr>
        <w:t>.</w:t>
      </w:r>
    </w:p>
    <w:p w:rsidR="00C9248B" w:rsidRPr="005B3C62" w:rsidRDefault="00C9248B"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Mok, K. H. (2000). Marketizing hi</w:t>
      </w:r>
      <w:r w:rsidR="00580DDC" w:rsidRPr="005B3C62">
        <w:rPr>
          <w:rFonts w:ascii="Times New Roman" w:hAnsi="Times New Roman" w:cs="Times New Roman"/>
          <w:color w:val="222222"/>
          <w:sz w:val="24"/>
          <w:szCs w:val="24"/>
          <w:shd w:val="clear" w:color="auto" w:fill="FFFFFF"/>
        </w:rPr>
        <w:t>gher education in post-Mao</w:t>
      </w:r>
      <w:r w:rsidRPr="005B3C62">
        <w:rPr>
          <w:rFonts w:ascii="Times New Roman" w:hAnsi="Times New Roman" w:cs="Times New Roman"/>
          <w:color w:val="222222"/>
          <w:sz w:val="24"/>
          <w:szCs w:val="24"/>
          <w:shd w:val="clear" w:color="auto" w:fill="FFFFFF"/>
        </w:rPr>
        <w:t>.</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International Journal of Educational Development</w:t>
      </w:r>
      <w:r w:rsidR="008822D3" w:rsidRPr="005B3C62">
        <w:rPr>
          <w:rFonts w:ascii="Times New Roman" w:hAnsi="Times New Roman" w:cs="Times New Roman"/>
          <w:color w:val="222222"/>
          <w:sz w:val="24"/>
          <w:szCs w:val="24"/>
          <w:shd w:val="clear" w:color="auto" w:fill="FFFFFF"/>
        </w:rPr>
        <w:t>,</w:t>
      </w:r>
      <w:r w:rsidR="008822D3" w:rsidRPr="005B3C62">
        <w:rPr>
          <w:rFonts w:ascii="Times New Roman" w:hAnsi="Times New Roman" w:cs="Times New Roman"/>
          <w:i/>
          <w:iCs/>
          <w:color w:val="222222"/>
          <w:sz w:val="24"/>
          <w:szCs w:val="24"/>
          <w:shd w:val="clear" w:color="auto" w:fill="FFFFFF"/>
        </w:rPr>
        <w:t xml:space="preserve"> 20</w:t>
      </w:r>
      <w:r w:rsidRPr="005B3C62">
        <w:rPr>
          <w:rFonts w:ascii="Times New Roman" w:hAnsi="Times New Roman" w:cs="Times New Roman"/>
          <w:color w:val="222222"/>
          <w:sz w:val="24"/>
          <w:szCs w:val="24"/>
          <w:shd w:val="clear" w:color="auto" w:fill="FFFFFF"/>
        </w:rPr>
        <w:t>(2), 109-126.</w:t>
      </w:r>
    </w:p>
    <w:p w:rsidR="00C9248B" w:rsidRPr="005B3C62" w:rsidRDefault="00C9248B"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Darling-Hammond, L. (1997).</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Doing what matters most: Investing in quality teaching</w:t>
      </w:r>
      <w:r w:rsidRPr="005B3C62">
        <w:rPr>
          <w:rFonts w:ascii="Times New Roman" w:hAnsi="Times New Roman" w:cs="Times New Roman"/>
          <w:color w:val="222222"/>
          <w:sz w:val="24"/>
          <w:szCs w:val="24"/>
          <w:shd w:val="clear" w:color="auto" w:fill="FFFFFF"/>
        </w:rPr>
        <w:t>. National Commission on Teaching &amp; America's Future, Kutztown Distribution Center, 15076 Kutztown Road, PO Box 326, Kutztown, PA 19530-0326.</w:t>
      </w:r>
    </w:p>
    <w:p w:rsidR="00C9248B" w:rsidRPr="005B3C62" w:rsidRDefault="00C9248B"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Ingersoll, R. M., &amp; Perda, D. (2008). The status of teaching as a profession.</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Schools and society: A sociological approach to education</w:t>
      </w:r>
      <w:r w:rsidRPr="005B3C62">
        <w:rPr>
          <w:rFonts w:ascii="Times New Roman" w:hAnsi="Times New Roman" w:cs="Times New Roman"/>
          <w:color w:val="222222"/>
          <w:sz w:val="24"/>
          <w:szCs w:val="24"/>
          <w:shd w:val="clear" w:color="auto" w:fill="FFFFFF"/>
        </w:rPr>
        <w:t>, 106-118.</w:t>
      </w:r>
    </w:p>
    <w:p w:rsidR="00E65AEA" w:rsidRPr="005B3C62" w:rsidRDefault="00E65AEA"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Odden, A., &amp; Kelley, C. (2002).</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 xml:space="preserve">Paying teachers for what they know and </w:t>
      </w:r>
      <w:r w:rsidR="008822D3" w:rsidRPr="005B3C62">
        <w:rPr>
          <w:rFonts w:ascii="Times New Roman" w:hAnsi="Times New Roman" w:cs="Times New Roman"/>
          <w:i/>
          <w:iCs/>
          <w:color w:val="222222"/>
          <w:sz w:val="24"/>
          <w:szCs w:val="24"/>
          <w:shd w:val="clear" w:color="auto" w:fill="FFFFFF"/>
        </w:rPr>
        <w:t>do new</w:t>
      </w:r>
      <w:r w:rsidRPr="005B3C62">
        <w:rPr>
          <w:rFonts w:ascii="Times New Roman" w:hAnsi="Times New Roman" w:cs="Times New Roman"/>
          <w:i/>
          <w:iCs/>
          <w:color w:val="222222"/>
          <w:sz w:val="24"/>
          <w:szCs w:val="24"/>
          <w:shd w:val="clear" w:color="auto" w:fill="FFFFFF"/>
        </w:rPr>
        <w:t xml:space="preserve"> and smarter compensation strategies to improve schools</w:t>
      </w:r>
      <w:r w:rsidRPr="005B3C62">
        <w:rPr>
          <w:rFonts w:ascii="Times New Roman" w:hAnsi="Times New Roman" w:cs="Times New Roman"/>
          <w:color w:val="222222"/>
          <w:sz w:val="24"/>
          <w:szCs w:val="24"/>
          <w:shd w:val="clear" w:color="auto" w:fill="FFFFFF"/>
        </w:rPr>
        <w:t>. Corwin Press.</w:t>
      </w:r>
    </w:p>
    <w:p w:rsidR="00E65AEA" w:rsidRPr="005B3C62" w:rsidRDefault="00E65AEA"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lastRenderedPageBreak/>
        <w:t>Schacter, J., &amp; Thum, Y. M. (2004). Paying for high-and low-quality teaching.</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Economics of Education Review</w:t>
      </w:r>
      <w:r w:rsidRPr="005B3C62">
        <w:rPr>
          <w:rFonts w:ascii="Times New Roman" w:hAnsi="Times New Roman" w:cs="Times New Roman"/>
          <w:color w:val="222222"/>
          <w:sz w:val="24"/>
          <w:szCs w:val="24"/>
          <w:shd w:val="clear" w:color="auto" w:fill="FFFFFF"/>
        </w:rPr>
        <w:t>,</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23</w:t>
      </w:r>
      <w:r w:rsidRPr="005B3C62">
        <w:rPr>
          <w:rFonts w:ascii="Times New Roman" w:hAnsi="Times New Roman" w:cs="Times New Roman"/>
          <w:color w:val="222222"/>
          <w:sz w:val="24"/>
          <w:szCs w:val="24"/>
          <w:shd w:val="clear" w:color="auto" w:fill="FFFFFF"/>
        </w:rPr>
        <w:t>(4), 411-430.</w:t>
      </w:r>
    </w:p>
    <w:p w:rsidR="00E65AEA" w:rsidRPr="005B3C62" w:rsidRDefault="00E65AEA"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Clotfelter, C., Glennie, E., Ladd, H., &amp; Vigdor, J. (2008). Would higher salaries keep teachers in high-poverty schools? Evidence from a policy intervention in North Carolina.</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Journal of Public Economics</w:t>
      </w:r>
      <w:r w:rsidRPr="005B3C62">
        <w:rPr>
          <w:rFonts w:ascii="Times New Roman" w:hAnsi="Times New Roman" w:cs="Times New Roman"/>
          <w:color w:val="222222"/>
          <w:sz w:val="24"/>
          <w:szCs w:val="24"/>
          <w:shd w:val="clear" w:color="auto" w:fill="FFFFFF"/>
        </w:rPr>
        <w:t>,</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92</w:t>
      </w:r>
      <w:r w:rsidRPr="005B3C62">
        <w:rPr>
          <w:rFonts w:ascii="Times New Roman" w:hAnsi="Times New Roman" w:cs="Times New Roman"/>
          <w:color w:val="222222"/>
          <w:sz w:val="24"/>
          <w:szCs w:val="24"/>
          <w:shd w:val="clear" w:color="auto" w:fill="FFFFFF"/>
        </w:rPr>
        <w:t>(5-6), 1352-1370.</w:t>
      </w:r>
    </w:p>
    <w:p w:rsidR="00E65AEA" w:rsidRPr="005B3C62" w:rsidRDefault="00E65AEA" w:rsidP="00757888">
      <w:pPr>
        <w:spacing w:line="480" w:lineRule="auto"/>
        <w:ind w:left="720" w:hanging="720"/>
        <w:rPr>
          <w:rFonts w:ascii="Times New Roman" w:hAnsi="Times New Roman" w:cs="Times New Roman"/>
          <w:color w:val="222222"/>
          <w:sz w:val="24"/>
          <w:szCs w:val="24"/>
          <w:shd w:val="clear" w:color="auto" w:fill="FFFFFF"/>
        </w:rPr>
      </w:pPr>
      <w:r w:rsidRPr="005B3C62">
        <w:rPr>
          <w:rFonts w:ascii="Times New Roman" w:hAnsi="Times New Roman" w:cs="Times New Roman"/>
          <w:color w:val="222222"/>
          <w:sz w:val="24"/>
          <w:szCs w:val="24"/>
          <w:shd w:val="clear" w:color="auto" w:fill="FFFFFF"/>
        </w:rPr>
        <w:t>Lazear, E. P. (2001). Paying teachers for performance: Incentives and selection.</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Unpublished paper, Hoover Institution and Graduate School of Business, Stanford University</w:t>
      </w:r>
      <w:r w:rsidRPr="005B3C62">
        <w:rPr>
          <w:rFonts w:ascii="Times New Roman" w:hAnsi="Times New Roman" w:cs="Times New Roman"/>
          <w:color w:val="222222"/>
          <w:sz w:val="24"/>
          <w:szCs w:val="24"/>
          <w:shd w:val="clear" w:color="auto" w:fill="FFFFFF"/>
        </w:rPr>
        <w:t>.</w:t>
      </w:r>
    </w:p>
    <w:p w:rsidR="00E65AEA" w:rsidRPr="005B3C62" w:rsidRDefault="00E65AEA" w:rsidP="00757888">
      <w:pPr>
        <w:spacing w:line="480" w:lineRule="auto"/>
        <w:ind w:left="720" w:hanging="720"/>
        <w:rPr>
          <w:rFonts w:ascii="Times New Roman" w:hAnsi="Times New Roman" w:cs="Times New Roman"/>
          <w:sz w:val="24"/>
          <w:szCs w:val="24"/>
        </w:rPr>
      </w:pPr>
      <w:r w:rsidRPr="005B3C62">
        <w:rPr>
          <w:rFonts w:ascii="Times New Roman" w:hAnsi="Times New Roman" w:cs="Times New Roman"/>
          <w:color w:val="222222"/>
          <w:sz w:val="24"/>
          <w:szCs w:val="24"/>
          <w:shd w:val="clear" w:color="auto" w:fill="FFFFFF"/>
        </w:rPr>
        <w:t>Bacharach, S. B. (1984).</w:t>
      </w:r>
      <w:r w:rsidRPr="005B3C62">
        <w:rPr>
          <w:rStyle w:val="apple-converted-space"/>
          <w:rFonts w:ascii="Times New Roman" w:hAnsi="Times New Roman" w:cs="Times New Roman"/>
          <w:color w:val="222222"/>
          <w:sz w:val="24"/>
          <w:szCs w:val="24"/>
          <w:shd w:val="clear" w:color="auto" w:fill="FFFFFF"/>
        </w:rPr>
        <w:t> </w:t>
      </w:r>
      <w:r w:rsidRPr="005B3C62">
        <w:rPr>
          <w:rFonts w:ascii="Times New Roman" w:hAnsi="Times New Roman" w:cs="Times New Roman"/>
          <w:i/>
          <w:iCs/>
          <w:color w:val="222222"/>
          <w:sz w:val="24"/>
          <w:szCs w:val="24"/>
          <w:shd w:val="clear" w:color="auto" w:fill="FFFFFF"/>
        </w:rPr>
        <w:t>Paying for Better Teaching: Merit Pay and Its Alternatives. OAP Monograph Series</w:t>
      </w:r>
      <w:r w:rsidRPr="005B3C62">
        <w:rPr>
          <w:rFonts w:ascii="Times New Roman" w:hAnsi="Times New Roman" w:cs="Times New Roman"/>
          <w:color w:val="222222"/>
          <w:sz w:val="24"/>
          <w:szCs w:val="24"/>
          <w:shd w:val="clear" w:color="auto" w:fill="FFFFFF"/>
        </w:rPr>
        <w:t>. Publication Sales, Organizational Analysis and Practice, Inc., Boardman House, 120 East Buffalo Street, Ithaca, NY 14850.</w:t>
      </w:r>
    </w:p>
    <w:sectPr w:rsidR="00E65AEA" w:rsidRPr="005B3C62" w:rsidSect="00865494">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1CD" w:rsidRDefault="000571CD" w:rsidP="00865494">
      <w:pPr>
        <w:spacing w:after="0" w:line="240" w:lineRule="auto"/>
      </w:pPr>
      <w:r>
        <w:separator/>
      </w:r>
    </w:p>
  </w:endnote>
  <w:endnote w:type="continuationSeparator" w:id="0">
    <w:p w:rsidR="000571CD" w:rsidRDefault="000571CD" w:rsidP="00865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1CD" w:rsidRDefault="000571CD" w:rsidP="00865494">
      <w:pPr>
        <w:spacing w:after="0" w:line="240" w:lineRule="auto"/>
      </w:pPr>
      <w:r>
        <w:separator/>
      </w:r>
    </w:p>
  </w:footnote>
  <w:footnote w:type="continuationSeparator" w:id="0">
    <w:p w:rsidR="000571CD" w:rsidRDefault="000571CD" w:rsidP="008654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7622"/>
      <w:docPartObj>
        <w:docPartGallery w:val="Page Numbers (Top of Page)"/>
        <w:docPartUnique/>
      </w:docPartObj>
    </w:sdtPr>
    <w:sdtEndPr/>
    <w:sdtContent>
      <w:p w:rsidR="00AF462E" w:rsidRDefault="0050489A">
        <w:pPr>
          <w:pStyle w:val="Header"/>
          <w:jc w:val="right"/>
        </w:pPr>
        <w:r w:rsidRPr="00865494">
          <w:rPr>
            <w:rFonts w:ascii="Times New Roman" w:hAnsi="Times New Roman" w:cs="Times New Roman"/>
            <w:sz w:val="24"/>
            <w:szCs w:val="24"/>
          </w:rPr>
          <w:fldChar w:fldCharType="begin"/>
        </w:r>
        <w:r w:rsidR="00AF462E" w:rsidRPr="00865494">
          <w:rPr>
            <w:rFonts w:ascii="Times New Roman" w:hAnsi="Times New Roman" w:cs="Times New Roman"/>
            <w:sz w:val="24"/>
            <w:szCs w:val="24"/>
          </w:rPr>
          <w:instrText xml:space="preserve"> PAGE   \* MERGEFORMAT </w:instrText>
        </w:r>
        <w:r w:rsidRPr="00865494">
          <w:rPr>
            <w:rFonts w:ascii="Times New Roman" w:hAnsi="Times New Roman" w:cs="Times New Roman"/>
            <w:sz w:val="24"/>
            <w:szCs w:val="24"/>
          </w:rPr>
          <w:fldChar w:fldCharType="separate"/>
        </w:r>
        <w:r w:rsidR="005B3C62">
          <w:rPr>
            <w:rFonts w:ascii="Times New Roman" w:hAnsi="Times New Roman" w:cs="Times New Roman"/>
            <w:noProof/>
            <w:sz w:val="24"/>
            <w:szCs w:val="24"/>
          </w:rPr>
          <w:t>5</w:t>
        </w:r>
        <w:r w:rsidRPr="00865494">
          <w:rPr>
            <w:rFonts w:ascii="Times New Roman" w:hAnsi="Times New Roman" w:cs="Times New Roman"/>
            <w:sz w:val="24"/>
            <w:szCs w:val="24"/>
          </w:rPr>
          <w:fldChar w:fldCharType="end"/>
        </w:r>
      </w:p>
    </w:sdtContent>
  </w:sdt>
  <w:p w:rsidR="00AF462E" w:rsidRPr="00865494" w:rsidRDefault="005B3C62">
    <w:pPr>
      <w:pStyle w:val="Header"/>
      <w:rPr>
        <w:rFonts w:ascii="Times New Roman" w:hAnsi="Times New Roman" w:cs="Times New Roman"/>
        <w:sz w:val="24"/>
        <w:szCs w:val="24"/>
      </w:rPr>
    </w:pPr>
    <w:r w:rsidRPr="00865494">
      <w:rPr>
        <w:rFonts w:ascii="Times New Roman" w:hAnsi="Times New Roman" w:cs="Times New Roman"/>
        <w:sz w:val="24"/>
        <w:szCs w:val="24"/>
      </w:rPr>
      <w:t>ADVOCACY STRATEGY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7579"/>
      <w:docPartObj>
        <w:docPartGallery w:val="Page Numbers (Top of Page)"/>
        <w:docPartUnique/>
      </w:docPartObj>
    </w:sdtPr>
    <w:sdtEndPr/>
    <w:sdtContent>
      <w:p w:rsidR="00AF462E" w:rsidRDefault="0050489A">
        <w:pPr>
          <w:pStyle w:val="Header"/>
          <w:jc w:val="right"/>
        </w:pPr>
        <w:r w:rsidRPr="00865494">
          <w:rPr>
            <w:rFonts w:ascii="Times New Roman" w:hAnsi="Times New Roman" w:cs="Times New Roman"/>
            <w:sz w:val="24"/>
            <w:szCs w:val="24"/>
          </w:rPr>
          <w:fldChar w:fldCharType="begin"/>
        </w:r>
        <w:r w:rsidR="00AF462E" w:rsidRPr="00865494">
          <w:rPr>
            <w:rFonts w:ascii="Times New Roman" w:hAnsi="Times New Roman" w:cs="Times New Roman"/>
            <w:sz w:val="24"/>
            <w:szCs w:val="24"/>
          </w:rPr>
          <w:instrText xml:space="preserve"> PAGE   \* MERGEFORMAT </w:instrText>
        </w:r>
        <w:r w:rsidRPr="00865494">
          <w:rPr>
            <w:rFonts w:ascii="Times New Roman" w:hAnsi="Times New Roman" w:cs="Times New Roman"/>
            <w:sz w:val="24"/>
            <w:szCs w:val="24"/>
          </w:rPr>
          <w:fldChar w:fldCharType="separate"/>
        </w:r>
        <w:r w:rsidR="005B3C62">
          <w:rPr>
            <w:rFonts w:ascii="Times New Roman" w:hAnsi="Times New Roman" w:cs="Times New Roman"/>
            <w:noProof/>
            <w:sz w:val="24"/>
            <w:szCs w:val="24"/>
          </w:rPr>
          <w:t>1</w:t>
        </w:r>
        <w:r w:rsidRPr="00865494">
          <w:rPr>
            <w:rFonts w:ascii="Times New Roman" w:hAnsi="Times New Roman" w:cs="Times New Roman"/>
            <w:sz w:val="24"/>
            <w:szCs w:val="24"/>
          </w:rPr>
          <w:fldChar w:fldCharType="end"/>
        </w:r>
      </w:p>
    </w:sdtContent>
  </w:sdt>
  <w:p w:rsidR="00AF462E" w:rsidRPr="00865494" w:rsidRDefault="00AF462E">
    <w:pPr>
      <w:pStyle w:val="Header"/>
      <w:rPr>
        <w:rFonts w:ascii="Times New Roman" w:hAnsi="Times New Roman" w:cs="Times New Roman"/>
        <w:sz w:val="24"/>
        <w:szCs w:val="24"/>
      </w:rPr>
    </w:pPr>
    <w:r w:rsidRPr="00865494">
      <w:rPr>
        <w:rFonts w:ascii="Times New Roman" w:hAnsi="Times New Roman" w:cs="Times New Roman"/>
        <w:sz w:val="24"/>
        <w:szCs w:val="24"/>
      </w:rPr>
      <w:t>Running head: ADVOCACY STRATEGY PAPER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6947B3"/>
    <w:multiLevelType w:val="hybridMultilevel"/>
    <w:tmpl w:val="2A0EB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65494"/>
    <w:rsid w:val="00005A93"/>
    <w:rsid w:val="0001093C"/>
    <w:rsid w:val="00012DCD"/>
    <w:rsid w:val="00015148"/>
    <w:rsid w:val="00020061"/>
    <w:rsid w:val="0002288B"/>
    <w:rsid w:val="00036585"/>
    <w:rsid w:val="00050D6B"/>
    <w:rsid w:val="00052757"/>
    <w:rsid w:val="00055101"/>
    <w:rsid w:val="000571CD"/>
    <w:rsid w:val="00060975"/>
    <w:rsid w:val="0006194F"/>
    <w:rsid w:val="00086D3B"/>
    <w:rsid w:val="000A7585"/>
    <w:rsid w:val="000B7818"/>
    <w:rsid w:val="000D78CA"/>
    <w:rsid w:val="000E0F6C"/>
    <w:rsid w:val="000F03DA"/>
    <w:rsid w:val="000F2518"/>
    <w:rsid w:val="000F28A3"/>
    <w:rsid w:val="000F4D3A"/>
    <w:rsid w:val="000F6823"/>
    <w:rsid w:val="000F7DBA"/>
    <w:rsid w:val="00106F74"/>
    <w:rsid w:val="00110194"/>
    <w:rsid w:val="001161DA"/>
    <w:rsid w:val="0012274D"/>
    <w:rsid w:val="00123E81"/>
    <w:rsid w:val="00125676"/>
    <w:rsid w:val="001529BB"/>
    <w:rsid w:val="00156867"/>
    <w:rsid w:val="0017141E"/>
    <w:rsid w:val="00171476"/>
    <w:rsid w:val="00173622"/>
    <w:rsid w:val="0019175C"/>
    <w:rsid w:val="00193370"/>
    <w:rsid w:val="001B0F43"/>
    <w:rsid w:val="001B328F"/>
    <w:rsid w:val="001B7443"/>
    <w:rsid w:val="001D070C"/>
    <w:rsid w:val="001D42AE"/>
    <w:rsid w:val="001D7DC4"/>
    <w:rsid w:val="001E3E4B"/>
    <w:rsid w:val="001E3EC3"/>
    <w:rsid w:val="001E5050"/>
    <w:rsid w:val="001E5A7F"/>
    <w:rsid w:val="001E7CD4"/>
    <w:rsid w:val="001F4F05"/>
    <w:rsid w:val="002037D4"/>
    <w:rsid w:val="002104F7"/>
    <w:rsid w:val="002105FE"/>
    <w:rsid w:val="002107E7"/>
    <w:rsid w:val="002128BA"/>
    <w:rsid w:val="00217819"/>
    <w:rsid w:val="00222DB1"/>
    <w:rsid w:val="00231EA1"/>
    <w:rsid w:val="002338D0"/>
    <w:rsid w:val="00235553"/>
    <w:rsid w:val="00241FFA"/>
    <w:rsid w:val="00243F81"/>
    <w:rsid w:val="00255700"/>
    <w:rsid w:val="00256318"/>
    <w:rsid w:val="00272136"/>
    <w:rsid w:val="00280677"/>
    <w:rsid w:val="002842CB"/>
    <w:rsid w:val="002A2968"/>
    <w:rsid w:val="002A789F"/>
    <w:rsid w:val="002C1E50"/>
    <w:rsid w:val="002C46DA"/>
    <w:rsid w:val="002C7419"/>
    <w:rsid w:val="002D0DD1"/>
    <w:rsid w:val="002D3F9B"/>
    <w:rsid w:val="002D71ED"/>
    <w:rsid w:val="002E7B60"/>
    <w:rsid w:val="002F4D2F"/>
    <w:rsid w:val="003115E1"/>
    <w:rsid w:val="003211E8"/>
    <w:rsid w:val="00334EB1"/>
    <w:rsid w:val="00335CFF"/>
    <w:rsid w:val="00344519"/>
    <w:rsid w:val="00344550"/>
    <w:rsid w:val="00344D8E"/>
    <w:rsid w:val="00372B81"/>
    <w:rsid w:val="003732E8"/>
    <w:rsid w:val="0038120C"/>
    <w:rsid w:val="0038143D"/>
    <w:rsid w:val="00382071"/>
    <w:rsid w:val="00392A87"/>
    <w:rsid w:val="00394D01"/>
    <w:rsid w:val="003A1766"/>
    <w:rsid w:val="003A3938"/>
    <w:rsid w:val="003A4152"/>
    <w:rsid w:val="003A48EB"/>
    <w:rsid w:val="003C41BB"/>
    <w:rsid w:val="003C549A"/>
    <w:rsid w:val="003C6249"/>
    <w:rsid w:val="003C64D9"/>
    <w:rsid w:val="003D4FAA"/>
    <w:rsid w:val="003D71B1"/>
    <w:rsid w:val="003E6266"/>
    <w:rsid w:val="003F0DBF"/>
    <w:rsid w:val="003F135C"/>
    <w:rsid w:val="003F6137"/>
    <w:rsid w:val="00404454"/>
    <w:rsid w:val="00416C38"/>
    <w:rsid w:val="00421338"/>
    <w:rsid w:val="00426514"/>
    <w:rsid w:val="004333FE"/>
    <w:rsid w:val="0044169B"/>
    <w:rsid w:val="00443E26"/>
    <w:rsid w:val="00454114"/>
    <w:rsid w:val="00454E87"/>
    <w:rsid w:val="0045523A"/>
    <w:rsid w:val="00457EA9"/>
    <w:rsid w:val="0046168C"/>
    <w:rsid w:val="0046747A"/>
    <w:rsid w:val="00474DB7"/>
    <w:rsid w:val="00476A7E"/>
    <w:rsid w:val="00482284"/>
    <w:rsid w:val="00483FFD"/>
    <w:rsid w:val="00485569"/>
    <w:rsid w:val="0049373E"/>
    <w:rsid w:val="004A687D"/>
    <w:rsid w:val="004C212A"/>
    <w:rsid w:val="004C3730"/>
    <w:rsid w:val="004C5E3D"/>
    <w:rsid w:val="004D6A2A"/>
    <w:rsid w:val="004E4769"/>
    <w:rsid w:val="004E5561"/>
    <w:rsid w:val="004F5C28"/>
    <w:rsid w:val="004F60AB"/>
    <w:rsid w:val="004F6366"/>
    <w:rsid w:val="005022FD"/>
    <w:rsid w:val="0050489A"/>
    <w:rsid w:val="0050491D"/>
    <w:rsid w:val="00514EFB"/>
    <w:rsid w:val="0051692B"/>
    <w:rsid w:val="00535A29"/>
    <w:rsid w:val="005543D4"/>
    <w:rsid w:val="00554CA0"/>
    <w:rsid w:val="00560960"/>
    <w:rsid w:val="00580DDC"/>
    <w:rsid w:val="0058363A"/>
    <w:rsid w:val="005971C8"/>
    <w:rsid w:val="00597DFA"/>
    <w:rsid w:val="005B3C62"/>
    <w:rsid w:val="005C282E"/>
    <w:rsid w:val="005D60F5"/>
    <w:rsid w:val="005E0984"/>
    <w:rsid w:val="005F04D5"/>
    <w:rsid w:val="005F177A"/>
    <w:rsid w:val="005F24D6"/>
    <w:rsid w:val="005F4142"/>
    <w:rsid w:val="00602AC3"/>
    <w:rsid w:val="0061148A"/>
    <w:rsid w:val="00613B7F"/>
    <w:rsid w:val="00615D38"/>
    <w:rsid w:val="0061637D"/>
    <w:rsid w:val="006239F8"/>
    <w:rsid w:val="00626F0E"/>
    <w:rsid w:val="00627B7B"/>
    <w:rsid w:val="00632280"/>
    <w:rsid w:val="00647BEE"/>
    <w:rsid w:val="0065121E"/>
    <w:rsid w:val="00660EF2"/>
    <w:rsid w:val="00663180"/>
    <w:rsid w:val="00675992"/>
    <w:rsid w:val="00675D7E"/>
    <w:rsid w:val="00676A47"/>
    <w:rsid w:val="0069542D"/>
    <w:rsid w:val="006A39F9"/>
    <w:rsid w:val="006B3388"/>
    <w:rsid w:val="006C2D20"/>
    <w:rsid w:val="006C2F3D"/>
    <w:rsid w:val="006D29D7"/>
    <w:rsid w:val="006D39AF"/>
    <w:rsid w:val="006D430A"/>
    <w:rsid w:val="006E19FE"/>
    <w:rsid w:val="006E2AA1"/>
    <w:rsid w:val="006E5ED4"/>
    <w:rsid w:val="006E78C2"/>
    <w:rsid w:val="00705AD2"/>
    <w:rsid w:val="0070791B"/>
    <w:rsid w:val="00707E22"/>
    <w:rsid w:val="0072352A"/>
    <w:rsid w:val="00730A8D"/>
    <w:rsid w:val="007413A5"/>
    <w:rsid w:val="00744543"/>
    <w:rsid w:val="0075183F"/>
    <w:rsid w:val="007553D9"/>
    <w:rsid w:val="00756114"/>
    <w:rsid w:val="00757888"/>
    <w:rsid w:val="00760BE2"/>
    <w:rsid w:val="00766220"/>
    <w:rsid w:val="00766FE1"/>
    <w:rsid w:val="00770124"/>
    <w:rsid w:val="00776264"/>
    <w:rsid w:val="007C6ACD"/>
    <w:rsid w:val="007D2752"/>
    <w:rsid w:val="007D3BA4"/>
    <w:rsid w:val="007E0183"/>
    <w:rsid w:val="007F2F68"/>
    <w:rsid w:val="0080049B"/>
    <w:rsid w:val="00800D24"/>
    <w:rsid w:val="00800D7C"/>
    <w:rsid w:val="008113A5"/>
    <w:rsid w:val="008113C7"/>
    <w:rsid w:val="00816294"/>
    <w:rsid w:val="00831383"/>
    <w:rsid w:val="008359D5"/>
    <w:rsid w:val="00837757"/>
    <w:rsid w:val="00851627"/>
    <w:rsid w:val="00865494"/>
    <w:rsid w:val="008709B7"/>
    <w:rsid w:val="00875A9D"/>
    <w:rsid w:val="008822D3"/>
    <w:rsid w:val="00887070"/>
    <w:rsid w:val="008B2596"/>
    <w:rsid w:val="008C03E4"/>
    <w:rsid w:val="008C3CF0"/>
    <w:rsid w:val="008C58B2"/>
    <w:rsid w:val="008D1214"/>
    <w:rsid w:val="008D44BF"/>
    <w:rsid w:val="008D5C32"/>
    <w:rsid w:val="008E4278"/>
    <w:rsid w:val="008F3D0A"/>
    <w:rsid w:val="00900CCD"/>
    <w:rsid w:val="00914B40"/>
    <w:rsid w:val="009222F6"/>
    <w:rsid w:val="00922695"/>
    <w:rsid w:val="00931DC7"/>
    <w:rsid w:val="00932B73"/>
    <w:rsid w:val="00932C31"/>
    <w:rsid w:val="009332E9"/>
    <w:rsid w:val="0093358D"/>
    <w:rsid w:val="009371E2"/>
    <w:rsid w:val="009400D0"/>
    <w:rsid w:val="0094102E"/>
    <w:rsid w:val="00944AB5"/>
    <w:rsid w:val="00947B81"/>
    <w:rsid w:val="0096430D"/>
    <w:rsid w:val="00987F48"/>
    <w:rsid w:val="009966B6"/>
    <w:rsid w:val="009A023A"/>
    <w:rsid w:val="009A4247"/>
    <w:rsid w:val="009A6346"/>
    <w:rsid w:val="009B264E"/>
    <w:rsid w:val="009B29E1"/>
    <w:rsid w:val="009B6B7E"/>
    <w:rsid w:val="009B77C8"/>
    <w:rsid w:val="009C658E"/>
    <w:rsid w:val="009D63E6"/>
    <w:rsid w:val="009F562A"/>
    <w:rsid w:val="00A03085"/>
    <w:rsid w:val="00A06307"/>
    <w:rsid w:val="00A06FFA"/>
    <w:rsid w:val="00A24A34"/>
    <w:rsid w:val="00A26143"/>
    <w:rsid w:val="00A47216"/>
    <w:rsid w:val="00A53210"/>
    <w:rsid w:val="00A70B86"/>
    <w:rsid w:val="00A75A3B"/>
    <w:rsid w:val="00A83A35"/>
    <w:rsid w:val="00A91033"/>
    <w:rsid w:val="00AA4CB3"/>
    <w:rsid w:val="00AB0BB2"/>
    <w:rsid w:val="00AB23C3"/>
    <w:rsid w:val="00AD48BF"/>
    <w:rsid w:val="00AE0F08"/>
    <w:rsid w:val="00AE7798"/>
    <w:rsid w:val="00AF462E"/>
    <w:rsid w:val="00AF6EB4"/>
    <w:rsid w:val="00B26131"/>
    <w:rsid w:val="00B35F92"/>
    <w:rsid w:val="00B5344F"/>
    <w:rsid w:val="00B53E6D"/>
    <w:rsid w:val="00B6710C"/>
    <w:rsid w:val="00B80564"/>
    <w:rsid w:val="00B86CAE"/>
    <w:rsid w:val="00B9178D"/>
    <w:rsid w:val="00B918E0"/>
    <w:rsid w:val="00B97444"/>
    <w:rsid w:val="00BB1C78"/>
    <w:rsid w:val="00BD0283"/>
    <w:rsid w:val="00BE0D1C"/>
    <w:rsid w:val="00BE1F95"/>
    <w:rsid w:val="00BE76F2"/>
    <w:rsid w:val="00BF2D3C"/>
    <w:rsid w:val="00BF593F"/>
    <w:rsid w:val="00C0564D"/>
    <w:rsid w:val="00C13FBA"/>
    <w:rsid w:val="00C1551A"/>
    <w:rsid w:val="00C31367"/>
    <w:rsid w:val="00C31B6F"/>
    <w:rsid w:val="00C44D56"/>
    <w:rsid w:val="00C45928"/>
    <w:rsid w:val="00C471C8"/>
    <w:rsid w:val="00C50797"/>
    <w:rsid w:val="00C53805"/>
    <w:rsid w:val="00C543BB"/>
    <w:rsid w:val="00C57F62"/>
    <w:rsid w:val="00C65ABD"/>
    <w:rsid w:val="00C713F6"/>
    <w:rsid w:val="00C7429E"/>
    <w:rsid w:val="00C7457C"/>
    <w:rsid w:val="00C75E1F"/>
    <w:rsid w:val="00C77143"/>
    <w:rsid w:val="00C85DBF"/>
    <w:rsid w:val="00C87213"/>
    <w:rsid w:val="00C9248B"/>
    <w:rsid w:val="00CA0D8E"/>
    <w:rsid w:val="00CC156B"/>
    <w:rsid w:val="00CD0081"/>
    <w:rsid w:val="00CD70AE"/>
    <w:rsid w:val="00CF55CA"/>
    <w:rsid w:val="00D00442"/>
    <w:rsid w:val="00D00DBF"/>
    <w:rsid w:val="00D25F8E"/>
    <w:rsid w:val="00D3274E"/>
    <w:rsid w:val="00D330AB"/>
    <w:rsid w:val="00D368D1"/>
    <w:rsid w:val="00D37034"/>
    <w:rsid w:val="00D43823"/>
    <w:rsid w:val="00D461B6"/>
    <w:rsid w:val="00D46911"/>
    <w:rsid w:val="00D50BE8"/>
    <w:rsid w:val="00D5744B"/>
    <w:rsid w:val="00D57AE7"/>
    <w:rsid w:val="00D623A1"/>
    <w:rsid w:val="00D67A9F"/>
    <w:rsid w:val="00D700E2"/>
    <w:rsid w:val="00D73548"/>
    <w:rsid w:val="00D73FFB"/>
    <w:rsid w:val="00D97534"/>
    <w:rsid w:val="00DA2D71"/>
    <w:rsid w:val="00DA41C1"/>
    <w:rsid w:val="00DA4D1B"/>
    <w:rsid w:val="00DB3A32"/>
    <w:rsid w:val="00DD61DF"/>
    <w:rsid w:val="00E07B25"/>
    <w:rsid w:val="00E17DAC"/>
    <w:rsid w:val="00E246D1"/>
    <w:rsid w:val="00E27120"/>
    <w:rsid w:val="00E43C74"/>
    <w:rsid w:val="00E65AEA"/>
    <w:rsid w:val="00E73F31"/>
    <w:rsid w:val="00E74DFA"/>
    <w:rsid w:val="00E9188F"/>
    <w:rsid w:val="00EA3A7C"/>
    <w:rsid w:val="00EA4152"/>
    <w:rsid w:val="00EC5716"/>
    <w:rsid w:val="00EE1E00"/>
    <w:rsid w:val="00EE250D"/>
    <w:rsid w:val="00EE267F"/>
    <w:rsid w:val="00F2238A"/>
    <w:rsid w:val="00F51820"/>
    <w:rsid w:val="00F5798B"/>
    <w:rsid w:val="00F64CC7"/>
    <w:rsid w:val="00F82776"/>
    <w:rsid w:val="00F84701"/>
    <w:rsid w:val="00F925F3"/>
    <w:rsid w:val="00F93080"/>
    <w:rsid w:val="00F930B4"/>
    <w:rsid w:val="00F96206"/>
    <w:rsid w:val="00F962E5"/>
    <w:rsid w:val="00FA1D77"/>
    <w:rsid w:val="00FA78F4"/>
    <w:rsid w:val="00FB40B2"/>
    <w:rsid w:val="00FB58EC"/>
    <w:rsid w:val="00FC1125"/>
    <w:rsid w:val="00FD3C66"/>
    <w:rsid w:val="00FD4F3A"/>
    <w:rsid w:val="00FE3497"/>
    <w:rsid w:val="00FF1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553"/>
  </w:style>
  <w:style w:type="paragraph" w:styleId="Heading1">
    <w:name w:val="heading 1"/>
    <w:basedOn w:val="Normal"/>
    <w:next w:val="Normal"/>
    <w:link w:val="Heading1Char"/>
    <w:uiPriority w:val="9"/>
    <w:qFormat/>
    <w:rsid w:val="005B3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494"/>
  </w:style>
  <w:style w:type="paragraph" w:styleId="Footer">
    <w:name w:val="footer"/>
    <w:basedOn w:val="Normal"/>
    <w:link w:val="FooterChar"/>
    <w:uiPriority w:val="99"/>
    <w:unhideWhenUsed/>
    <w:rsid w:val="00865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494"/>
  </w:style>
  <w:style w:type="character" w:customStyle="1" w:styleId="apple-converted-space">
    <w:name w:val="apple-converted-space"/>
    <w:basedOn w:val="DefaultParagraphFont"/>
    <w:rsid w:val="00C9248B"/>
  </w:style>
  <w:style w:type="paragraph" w:styleId="ListParagraph">
    <w:name w:val="List Paragraph"/>
    <w:basedOn w:val="Normal"/>
    <w:uiPriority w:val="34"/>
    <w:qFormat/>
    <w:rsid w:val="00012DCD"/>
    <w:pPr>
      <w:ind w:left="720"/>
      <w:contextualSpacing/>
    </w:pPr>
  </w:style>
  <w:style w:type="paragraph" w:styleId="BalloonText">
    <w:name w:val="Balloon Text"/>
    <w:basedOn w:val="Normal"/>
    <w:link w:val="BalloonTextChar"/>
    <w:uiPriority w:val="99"/>
    <w:semiHidden/>
    <w:unhideWhenUsed/>
    <w:rsid w:val="007E0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183"/>
    <w:rPr>
      <w:rFonts w:ascii="Tahoma" w:hAnsi="Tahoma" w:cs="Tahoma"/>
      <w:sz w:val="16"/>
      <w:szCs w:val="16"/>
    </w:rPr>
  </w:style>
  <w:style w:type="character" w:styleId="Emphasis">
    <w:name w:val="Emphasis"/>
    <w:basedOn w:val="DefaultParagraphFont"/>
    <w:uiPriority w:val="20"/>
    <w:qFormat/>
    <w:rsid w:val="00C1551A"/>
    <w:rPr>
      <w:i/>
      <w:iCs/>
    </w:rPr>
  </w:style>
  <w:style w:type="character" w:styleId="Hyperlink">
    <w:name w:val="Hyperlink"/>
    <w:basedOn w:val="DefaultParagraphFont"/>
    <w:uiPriority w:val="99"/>
    <w:unhideWhenUsed/>
    <w:rsid w:val="00C1551A"/>
    <w:rPr>
      <w:color w:val="0000FF"/>
      <w:u w:val="single"/>
    </w:rPr>
  </w:style>
  <w:style w:type="character" w:customStyle="1" w:styleId="Heading1Char">
    <w:name w:val="Heading 1 Char"/>
    <w:basedOn w:val="DefaultParagraphFont"/>
    <w:link w:val="Heading1"/>
    <w:uiPriority w:val="9"/>
    <w:rsid w:val="005B3C6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B3C62"/>
    <w:pPr>
      <w:outlineLvl w:val="9"/>
    </w:pPr>
    <w:rPr>
      <w:lang w:eastAsia="ja-JP"/>
    </w:rPr>
  </w:style>
  <w:style w:type="paragraph" w:styleId="TOC1">
    <w:name w:val="toc 1"/>
    <w:basedOn w:val="Normal"/>
    <w:next w:val="Normal"/>
    <w:autoRedefine/>
    <w:uiPriority w:val="39"/>
    <w:unhideWhenUsed/>
    <w:rsid w:val="005B3C62"/>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iaonline.com/archives/20121022.htm" TargetMode="External"/><Relationship Id="rId5" Type="http://schemas.openxmlformats.org/officeDocument/2006/relationships/settings" Target="settings.xml"/><Relationship Id="rId15" Type="http://schemas.openxmlformats.org/officeDocument/2006/relationships/hyperlink" Target="https://www.unc.edu/~fbaum/books/lobby/Advocacy_July_19_2008.pdf" TargetMode="External"/><Relationship Id="rId10" Type="http://schemas.openxmlformats.org/officeDocument/2006/relationships/hyperlink" Target="http://www.huffingtonpost.com/2012/07/13/countrys-two-largest-teac_n_1672335.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unc.edu/~fbaum/books/lobby/Advocacy_July_19_2008.pdf"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53C52-37D2-477C-B08E-33A4F4301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16</Pages>
  <Words>3445</Words>
  <Characters>19637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341</cp:revision>
  <dcterms:created xsi:type="dcterms:W3CDTF">2018-04-19T17:53:00Z</dcterms:created>
  <dcterms:modified xsi:type="dcterms:W3CDTF">2018-04-22T10:59:00Z</dcterms:modified>
</cp:coreProperties>
</file>